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715" w:rsidRPr="00F93FB6" w:rsidRDefault="00B74715" w:rsidP="00B74715">
      <w:pPr>
        <w:pStyle w:val="StyleCentered"/>
        <w:rPr>
          <w:rFonts w:cs="Times New Roman"/>
          <w:b/>
          <w:szCs w:val="24"/>
        </w:rPr>
      </w:pPr>
      <w:r w:rsidRPr="00F93FB6">
        <w:rPr>
          <w:rFonts w:cs="Times New Roman"/>
          <w:szCs w:val="24"/>
        </w:rPr>
        <w:t>Before the</w:t>
      </w:r>
    </w:p>
    <w:p w:rsidR="00B74715" w:rsidRPr="00F93FB6" w:rsidRDefault="00B74715" w:rsidP="00B74715">
      <w:pPr>
        <w:pStyle w:val="StyleBoldCentered"/>
        <w:rPr>
          <w:rFonts w:ascii="Times New Roman" w:hAnsi="Times New Roman" w:cs="Times New Roman"/>
          <w:szCs w:val="24"/>
        </w:rPr>
      </w:pPr>
      <w:r w:rsidRPr="00F93FB6">
        <w:rPr>
          <w:rFonts w:ascii="Times New Roman" w:hAnsi="Times New Roman" w:cs="Times New Roman"/>
          <w:szCs w:val="24"/>
        </w:rPr>
        <w:t>Federal Communications Commission</w:t>
      </w:r>
    </w:p>
    <w:p w:rsidR="00B74715" w:rsidRPr="00F93FB6" w:rsidRDefault="00B74715" w:rsidP="00B74715">
      <w:pPr>
        <w:pStyle w:val="StyleCentered"/>
        <w:rPr>
          <w:rFonts w:cs="Times New Roman"/>
          <w:b/>
          <w:szCs w:val="24"/>
        </w:rPr>
      </w:pPr>
      <w:r w:rsidRPr="00F93FB6">
        <w:rPr>
          <w:rFonts w:cs="Times New Roman"/>
          <w:szCs w:val="24"/>
        </w:rPr>
        <w:t>Washington, DC  20554</w:t>
      </w:r>
    </w:p>
    <w:p w:rsidR="007B2423" w:rsidRDefault="007B2423" w:rsidP="00A36642">
      <w:pPr>
        <w:rPr>
          <w:rFonts w:cs="Times New Roman"/>
          <w:szCs w:val="24"/>
        </w:rPr>
      </w:pPr>
    </w:p>
    <w:p w:rsidR="00E22916" w:rsidRDefault="00E22916" w:rsidP="00A36642">
      <w:pPr>
        <w:rPr>
          <w:rFonts w:cs="Times New Roman"/>
          <w:szCs w:val="24"/>
        </w:rPr>
      </w:pPr>
    </w:p>
    <w:p w:rsidR="00E22916" w:rsidRPr="00F93FB6" w:rsidRDefault="00E22916" w:rsidP="00A36642">
      <w:pPr>
        <w:rPr>
          <w:rFonts w:cs="Times New Roman"/>
          <w:szCs w:val="24"/>
        </w:rPr>
      </w:pPr>
    </w:p>
    <w:tbl>
      <w:tblPr>
        <w:tblW w:w="9360" w:type="dxa"/>
        <w:tblLayout w:type="fixed"/>
        <w:tblCellMar>
          <w:left w:w="0" w:type="dxa"/>
          <w:right w:w="0" w:type="dxa"/>
        </w:tblCellMar>
        <w:tblLook w:val="0000"/>
      </w:tblPr>
      <w:tblGrid>
        <w:gridCol w:w="5160"/>
        <w:gridCol w:w="288"/>
        <w:gridCol w:w="3912"/>
      </w:tblGrid>
      <w:tr w:rsidR="00431C4E" w:rsidRPr="00F93FB6" w:rsidTr="00431C4E">
        <w:trPr>
          <w:trHeight w:hRule="exact" w:val="20"/>
        </w:trPr>
        <w:tc>
          <w:tcPr>
            <w:tcW w:w="5160" w:type="dxa"/>
            <w:shd w:val="clear" w:color="auto" w:fill="auto"/>
          </w:tcPr>
          <w:p w:rsidR="00431C4E" w:rsidRPr="00F93FB6" w:rsidRDefault="00431C4E" w:rsidP="00431C4E">
            <w:pPr>
              <w:pStyle w:val="PartyName"/>
              <w:spacing w:after="20"/>
              <w:rPr>
                <w:rFonts w:cs="Times New Roman"/>
                <w:szCs w:val="24"/>
              </w:rPr>
            </w:pPr>
            <w:bookmarkStart w:id="0" w:name="cusCaptionVer20" w:colFirst="0" w:colLast="0"/>
            <w:bookmarkStart w:id="1" w:name="zZTable"/>
            <w:bookmarkStart w:id="2" w:name="swiTable"/>
          </w:p>
        </w:tc>
        <w:tc>
          <w:tcPr>
            <w:tcW w:w="288" w:type="dxa"/>
            <w:shd w:val="clear" w:color="auto" w:fill="auto"/>
          </w:tcPr>
          <w:p w:rsidR="00431C4E" w:rsidRPr="00F93FB6" w:rsidRDefault="00431C4E" w:rsidP="00431C4E">
            <w:pPr>
              <w:spacing w:after="20" w:line="240" w:lineRule="exact"/>
              <w:rPr>
                <w:rFonts w:cs="Times New Roman"/>
                <w:szCs w:val="24"/>
              </w:rPr>
            </w:pPr>
          </w:p>
        </w:tc>
        <w:tc>
          <w:tcPr>
            <w:tcW w:w="3912" w:type="dxa"/>
            <w:shd w:val="clear" w:color="auto" w:fill="auto"/>
          </w:tcPr>
          <w:p w:rsidR="00431C4E" w:rsidRPr="00F93FB6" w:rsidRDefault="00431C4E" w:rsidP="00431C4E">
            <w:pPr>
              <w:pStyle w:val="CaptionRight"/>
              <w:spacing w:after="20"/>
              <w:ind w:left="0"/>
              <w:rPr>
                <w:rFonts w:cs="Times New Roman"/>
                <w:szCs w:val="24"/>
              </w:rPr>
            </w:pPr>
          </w:p>
        </w:tc>
      </w:tr>
      <w:bookmarkStart w:id="3" w:name="Caption"/>
      <w:bookmarkStart w:id="4" w:name="cusCaptionBox"/>
      <w:bookmarkEnd w:id="0"/>
      <w:tr w:rsidR="00431C4E" w:rsidRPr="00F93FB6" w:rsidTr="00431C4E">
        <w:tc>
          <w:tcPr>
            <w:tcW w:w="5160" w:type="dxa"/>
            <w:shd w:val="clear" w:color="auto" w:fill="auto"/>
          </w:tcPr>
          <w:p w:rsidR="00431C4E" w:rsidRPr="00F93FB6" w:rsidRDefault="007312EA" w:rsidP="00B74715">
            <w:pPr>
              <w:pStyle w:val="PartyName"/>
              <w:rPr>
                <w:rFonts w:cs="Times New Roman"/>
                <w:szCs w:val="24"/>
              </w:rPr>
            </w:pPr>
            <w:sdt>
              <w:sdtPr>
                <w:rPr>
                  <w:rFonts w:cs="Times New Roman"/>
                  <w:szCs w:val="24"/>
                </w:rPr>
                <w:alias w:val="Edit field"/>
                <w:tag w:val="SWILI1ContentsA"/>
                <w:id w:val="-1160766369"/>
                <w:placeholder>
                  <w:docPart w:val="93494E3883C5443FA6C493E3A41E0085"/>
                </w:placeholder>
              </w:sdtPr>
              <w:sdtContent>
                <w:r w:rsidR="008904ED">
                  <w:rPr>
                    <w:rFonts w:cs="Times New Roman"/>
                    <w:szCs w:val="24"/>
                  </w:rPr>
                  <w:t xml:space="preserve">In the Matter of </w:t>
                </w:r>
                <w:r w:rsidR="00233FA5">
                  <w:rPr>
                    <w:rFonts w:cs="Times New Roman"/>
                    <w:szCs w:val="24"/>
                  </w:rPr>
                  <w:tab/>
                </w:r>
                <w:r w:rsidR="00233FA5">
                  <w:rPr>
                    <w:rFonts w:cs="Times New Roman"/>
                    <w:szCs w:val="24"/>
                  </w:rPr>
                  <w:tab/>
                </w:r>
                <w:r w:rsidR="00233FA5">
                  <w:rPr>
                    <w:rFonts w:cs="Times New Roman"/>
                    <w:szCs w:val="24"/>
                  </w:rPr>
                  <w:tab/>
                </w:r>
                <w:r w:rsidR="00233FA5">
                  <w:rPr>
                    <w:rFonts w:cs="Times New Roman"/>
                    <w:szCs w:val="24"/>
                  </w:rPr>
                  <w:tab/>
                </w:r>
                <w:r w:rsidR="00233FA5">
                  <w:rPr>
                    <w:rFonts w:cs="Times New Roman"/>
                    <w:szCs w:val="24"/>
                  </w:rPr>
                  <w:tab/>
                </w:r>
                <w:r w:rsidR="00233FA5">
                  <w:rPr>
                    <w:rFonts w:cs="Times New Roman"/>
                    <w:szCs w:val="24"/>
                  </w:rPr>
                  <w:tab/>
                </w:r>
                <w:r w:rsidR="00233FA5">
                  <w:rPr>
                    <w:rFonts w:cs="Times New Roman"/>
                    <w:szCs w:val="24"/>
                  </w:rPr>
                  <w:tab/>
                </w:r>
                <w:r w:rsidR="00233FA5">
                  <w:rPr>
                    <w:rFonts w:cs="Times New Roman"/>
                    <w:szCs w:val="24"/>
                  </w:rPr>
                  <w:tab/>
                </w:r>
                <w:r w:rsidR="00233FA5">
                  <w:rPr>
                    <w:rFonts w:cs="Times New Roman"/>
                    <w:szCs w:val="24"/>
                  </w:rPr>
                  <w:tab/>
                </w:r>
                <w:r w:rsidR="00233FA5">
                  <w:rPr>
                    <w:rFonts w:cs="Times New Roman"/>
                    <w:szCs w:val="24"/>
                  </w:rPr>
                  <w:tab/>
                </w:r>
                <w:r w:rsidR="00233FA5">
                  <w:rPr>
                    <w:rFonts w:cs="Times New Roman"/>
                    <w:szCs w:val="24"/>
                  </w:rPr>
                  <w:tab/>
                  <w:t xml:space="preserve">  </w:t>
                </w:r>
                <w:r w:rsidR="00431C4E" w:rsidRPr="00F93FB6">
                  <w:rPr>
                    <w:rFonts w:cs="Times New Roman"/>
                    <w:szCs w:val="24"/>
                  </w:rPr>
                  <w:t>Petition of Public Knowledge et al. for Declaratory Ruling Stating that the Sale of Non-Aggregate Call Records by Telecommunications Providers without Customers’ Consent Violates Section 222 of the Communications Act</w:t>
                </w:r>
              </w:sdtContent>
            </w:sdt>
            <w:r w:rsidR="00431C4E" w:rsidRPr="00F93FB6">
              <w:rPr>
                <w:rFonts w:cs="Times New Roman"/>
                <w:szCs w:val="24"/>
              </w:rPr>
              <w:t xml:space="preserve"> </w:t>
            </w:r>
          </w:p>
          <w:p w:rsidR="00431C4E" w:rsidRPr="00F93FB6" w:rsidRDefault="00431C4E" w:rsidP="00B74715">
            <w:pPr>
              <w:pStyle w:val="PartyTitle"/>
              <w:rPr>
                <w:rFonts w:cs="Times New Roman"/>
                <w:szCs w:val="24"/>
              </w:rPr>
            </w:pPr>
          </w:p>
        </w:tc>
        <w:tc>
          <w:tcPr>
            <w:tcW w:w="288" w:type="dxa"/>
            <w:shd w:val="clear" w:color="auto" w:fill="auto"/>
          </w:tcPr>
          <w:p w:rsidR="00431C4E" w:rsidRPr="00F93FB6" w:rsidRDefault="00431C4E" w:rsidP="00431C4E">
            <w:pPr>
              <w:spacing w:after="20" w:line="240" w:lineRule="exact"/>
              <w:rPr>
                <w:rFonts w:cs="Times New Roman"/>
                <w:szCs w:val="24"/>
              </w:rPr>
            </w:pPr>
            <w:r w:rsidRPr="00F93FB6">
              <w:rPr>
                <w:rFonts w:cs="Times New Roman"/>
                <w:szCs w:val="24"/>
              </w:rPr>
              <w:t>)</w:t>
            </w:r>
          </w:p>
          <w:p w:rsidR="00431C4E" w:rsidRPr="00F93FB6" w:rsidRDefault="00431C4E" w:rsidP="00431C4E">
            <w:pPr>
              <w:spacing w:after="20" w:line="240" w:lineRule="exact"/>
              <w:rPr>
                <w:rFonts w:cs="Times New Roman"/>
                <w:szCs w:val="24"/>
              </w:rPr>
            </w:pPr>
            <w:r w:rsidRPr="00F93FB6">
              <w:rPr>
                <w:rFonts w:cs="Times New Roman"/>
                <w:szCs w:val="24"/>
              </w:rPr>
              <w:t>)</w:t>
            </w:r>
          </w:p>
          <w:p w:rsidR="00431C4E" w:rsidRPr="00F93FB6" w:rsidRDefault="00431C4E" w:rsidP="00431C4E">
            <w:pPr>
              <w:spacing w:after="20" w:line="240" w:lineRule="exact"/>
              <w:rPr>
                <w:rFonts w:cs="Times New Roman"/>
                <w:szCs w:val="24"/>
              </w:rPr>
            </w:pPr>
            <w:r w:rsidRPr="00F93FB6">
              <w:rPr>
                <w:rFonts w:cs="Times New Roman"/>
                <w:szCs w:val="24"/>
              </w:rPr>
              <w:t>)</w:t>
            </w:r>
          </w:p>
          <w:p w:rsidR="00431C4E" w:rsidRPr="00F93FB6" w:rsidRDefault="00431C4E" w:rsidP="00431C4E">
            <w:pPr>
              <w:spacing w:after="20" w:line="240" w:lineRule="exact"/>
              <w:rPr>
                <w:rFonts w:cs="Times New Roman"/>
                <w:szCs w:val="24"/>
              </w:rPr>
            </w:pPr>
            <w:r w:rsidRPr="00F93FB6">
              <w:rPr>
                <w:rFonts w:cs="Times New Roman"/>
                <w:szCs w:val="24"/>
              </w:rPr>
              <w:t>)</w:t>
            </w:r>
          </w:p>
          <w:p w:rsidR="00431C4E" w:rsidRPr="00F93FB6" w:rsidRDefault="00431C4E" w:rsidP="00431C4E">
            <w:pPr>
              <w:spacing w:after="20" w:line="240" w:lineRule="exact"/>
              <w:rPr>
                <w:rFonts w:cs="Times New Roman"/>
                <w:szCs w:val="24"/>
              </w:rPr>
            </w:pPr>
            <w:r w:rsidRPr="00F93FB6">
              <w:rPr>
                <w:rFonts w:cs="Times New Roman"/>
                <w:szCs w:val="24"/>
              </w:rPr>
              <w:t>)</w:t>
            </w:r>
          </w:p>
          <w:p w:rsidR="00431C4E" w:rsidRPr="00F93FB6" w:rsidRDefault="00431C4E" w:rsidP="00431C4E">
            <w:pPr>
              <w:spacing w:after="20" w:line="240" w:lineRule="exact"/>
              <w:rPr>
                <w:rFonts w:cs="Times New Roman"/>
                <w:szCs w:val="24"/>
              </w:rPr>
            </w:pPr>
            <w:r w:rsidRPr="00F93FB6">
              <w:rPr>
                <w:rFonts w:cs="Times New Roman"/>
                <w:szCs w:val="24"/>
              </w:rPr>
              <w:t>)</w:t>
            </w:r>
          </w:p>
          <w:p w:rsidR="00431C4E" w:rsidRPr="00F93FB6" w:rsidRDefault="00431C4E" w:rsidP="00431C4E">
            <w:pPr>
              <w:spacing w:after="20" w:line="240" w:lineRule="exact"/>
              <w:rPr>
                <w:rFonts w:cs="Times New Roman"/>
                <w:szCs w:val="24"/>
              </w:rPr>
            </w:pPr>
            <w:r w:rsidRPr="00F93FB6">
              <w:rPr>
                <w:rFonts w:cs="Times New Roman"/>
                <w:szCs w:val="24"/>
              </w:rPr>
              <w:t>)</w:t>
            </w:r>
          </w:p>
        </w:tc>
        <w:tc>
          <w:tcPr>
            <w:tcW w:w="3912" w:type="dxa"/>
            <w:shd w:val="clear" w:color="auto" w:fill="auto"/>
          </w:tcPr>
          <w:p w:rsidR="003D6956" w:rsidRPr="00F93FB6" w:rsidRDefault="003D6956" w:rsidP="00B74715">
            <w:pPr>
              <w:pStyle w:val="CaptionRight"/>
              <w:ind w:left="0"/>
              <w:rPr>
                <w:rFonts w:cs="Times New Roman"/>
                <w:szCs w:val="24"/>
              </w:rPr>
            </w:pPr>
            <w:bookmarkStart w:id="5" w:name="txtDocketNo"/>
          </w:p>
          <w:p w:rsidR="003D6956" w:rsidRPr="00F93FB6" w:rsidRDefault="003D6956" w:rsidP="00B74715">
            <w:pPr>
              <w:pStyle w:val="CaptionRight"/>
              <w:ind w:left="0"/>
              <w:rPr>
                <w:rFonts w:cs="Times New Roman"/>
                <w:szCs w:val="24"/>
              </w:rPr>
            </w:pPr>
          </w:p>
          <w:p w:rsidR="00431C4E" w:rsidRPr="00F93FB6" w:rsidRDefault="00431C4E" w:rsidP="00B74715">
            <w:pPr>
              <w:pStyle w:val="CaptionRight"/>
              <w:ind w:left="0"/>
              <w:rPr>
                <w:rFonts w:cs="Times New Roman"/>
                <w:szCs w:val="24"/>
              </w:rPr>
            </w:pPr>
            <w:r w:rsidRPr="00F93FB6">
              <w:rPr>
                <w:rFonts w:cs="Times New Roman"/>
                <w:szCs w:val="24"/>
              </w:rPr>
              <w:t>WC Docket No. 13-306</w:t>
            </w:r>
            <w:bookmarkEnd w:id="5"/>
          </w:p>
        </w:tc>
      </w:tr>
      <w:tr w:rsidR="00431C4E" w:rsidRPr="00F93FB6" w:rsidTr="00431C4E">
        <w:trPr>
          <w:trHeight w:hRule="exact" w:val="20"/>
        </w:trPr>
        <w:tc>
          <w:tcPr>
            <w:tcW w:w="5160" w:type="dxa"/>
            <w:shd w:val="clear" w:color="auto" w:fill="auto"/>
          </w:tcPr>
          <w:p w:rsidR="00431C4E" w:rsidRPr="00F93FB6" w:rsidRDefault="00431C4E" w:rsidP="00431C4E">
            <w:pPr>
              <w:pStyle w:val="PartyName"/>
              <w:spacing w:after="20"/>
              <w:rPr>
                <w:rFonts w:cs="Times New Roman"/>
                <w:szCs w:val="24"/>
              </w:rPr>
            </w:pPr>
            <w:bookmarkStart w:id="6" w:name="swiLastCellLeft" w:colFirst="0" w:colLast="0"/>
          </w:p>
        </w:tc>
        <w:tc>
          <w:tcPr>
            <w:tcW w:w="288" w:type="dxa"/>
            <w:shd w:val="clear" w:color="auto" w:fill="auto"/>
          </w:tcPr>
          <w:p w:rsidR="00431C4E" w:rsidRPr="00F93FB6" w:rsidRDefault="00431C4E" w:rsidP="00431C4E">
            <w:pPr>
              <w:spacing w:after="20" w:line="240" w:lineRule="exact"/>
              <w:rPr>
                <w:rFonts w:cs="Times New Roman"/>
                <w:szCs w:val="24"/>
              </w:rPr>
            </w:pPr>
          </w:p>
        </w:tc>
        <w:tc>
          <w:tcPr>
            <w:tcW w:w="3912" w:type="dxa"/>
            <w:shd w:val="clear" w:color="auto" w:fill="auto"/>
          </w:tcPr>
          <w:p w:rsidR="00431C4E" w:rsidRPr="00F93FB6" w:rsidRDefault="00431C4E" w:rsidP="00431C4E">
            <w:pPr>
              <w:pStyle w:val="CaptionRight"/>
              <w:spacing w:after="20"/>
              <w:ind w:left="0"/>
              <w:rPr>
                <w:rFonts w:cs="Times New Roman"/>
                <w:szCs w:val="24"/>
              </w:rPr>
            </w:pPr>
          </w:p>
        </w:tc>
      </w:tr>
      <w:bookmarkEnd w:id="1"/>
      <w:bookmarkEnd w:id="2"/>
      <w:bookmarkEnd w:id="3"/>
      <w:bookmarkEnd w:id="4"/>
      <w:bookmarkEnd w:id="6"/>
    </w:tbl>
    <w:p w:rsidR="00B74715" w:rsidRPr="00F93FB6" w:rsidRDefault="00B74715" w:rsidP="00B74715">
      <w:pPr>
        <w:rPr>
          <w:rFonts w:cs="Times New Roman"/>
          <w:szCs w:val="24"/>
        </w:rPr>
      </w:pPr>
    </w:p>
    <w:p w:rsidR="00B74715" w:rsidRPr="00F93FB6" w:rsidRDefault="00B74715" w:rsidP="00B74715">
      <w:pPr>
        <w:rPr>
          <w:rFonts w:cs="Times New Roman"/>
          <w:szCs w:val="24"/>
        </w:rPr>
      </w:pPr>
      <w:bookmarkStart w:id="7" w:name="NoCover"/>
    </w:p>
    <w:p w:rsidR="00B74715" w:rsidRPr="00F93FB6" w:rsidRDefault="00B74715" w:rsidP="00B74715">
      <w:pPr>
        <w:rPr>
          <w:rFonts w:cs="Times New Roman"/>
          <w:szCs w:val="24"/>
        </w:rPr>
      </w:pPr>
    </w:p>
    <w:p w:rsidR="00B74715" w:rsidRPr="00F93FB6" w:rsidRDefault="00B74715" w:rsidP="00B74715">
      <w:pPr>
        <w:rPr>
          <w:rFonts w:cs="Times New Roman"/>
          <w:szCs w:val="24"/>
        </w:rPr>
      </w:pPr>
    </w:p>
    <w:p w:rsidR="00B74715" w:rsidRPr="00F93FB6" w:rsidRDefault="00455C0E" w:rsidP="00B74715">
      <w:pPr>
        <w:pStyle w:val="Title"/>
        <w:rPr>
          <w:rFonts w:ascii="Times New Roman" w:hAnsi="Times New Roman" w:cs="Times New Roman"/>
          <w:szCs w:val="24"/>
        </w:rPr>
      </w:pPr>
      <w:bookmarkStart w:id="8" w:name="TXTTITLE"/>
      <w:r w:rsidRPr="00F93FB6">
        <w:rPr>
          <w:rFonts w:ascii="Times New Roman" w:hAnsi="Times New Roman" w:cs="Times New Roman"/>
          <w:szCs w:val="24"/>
        </w:rPr>
        <w:t xml:space="preserve">Comments of </w:t>
      </w:r>
      <w:r w:rsidR="00CD7070">
        <w:rPr>
          <w:rFonts w:ascii="Times New Roman" w:hAnsi="Times New Roman" w:cs="Times New Roman"/>
          <w:szCs w:val="24"/>
        </w:rPr>
        <w:t xml:space="preserve">CTIA – The </w:t>
      </w:r>
      <w:r w:rsidR="00065562" w:rsidRPr="00F93FB6">
        <w:rPr>
          <w:rFonts w:ascii="Times New Roman" w:hAnsi="Times New Roman" w:cs="Times New Roman"/>
          <w:szCs w:val="24"/>
        </w:rPr>
        <w:t>Wireless Association</w:t>
      </w:r>
      <w:r w:rsidR="00CD7070">
        <w:rPr>
          <w:rFonts w:ascii="Times New Roman" w:hAnsi="Times New Roman" w:cs="Times New Roman"/>
          <w:szCs w:val="24"/>
        </w:rPr>
        <w:t>®</w:t>
      </w:r>
      <w:r w:rsidR="00431C4E" w:rsidRPr="00F93FB6">
        <w:rPr>
          <w:rFonts w:ascii="Times New Roman" w:hAnsi="Times New Roman" w:cs="Times New Roman"/>
          <w:szCs w:val="24"/>
        </w:rPr>
        <w:t xml:space="preserve"> </w:t>
      </w:r>
    </w:p>
    <w:bookmarkEnd w:id="8"/>
    <w:p w:rsidR="00B74715" w:rsidRPr="00F93FB6" w:rsidRDefault="00B74715" w:rsidP="00B74715">
      <w:pPr>
        <w:rPr>
          <w:rFonts w:cs="Times New Roman"/>
          <w:szCs w:val="24"/>
        </w:rPr>
      </w:pPr>
    </w:p>
    <w:p w:rsidR="00235C18" w:rsidRPr="00F93FB6" w:rsidRDefault="00235C18" w:rsidP="00B74715">
      <w:pPr>
        <w:rPr>
          <w:rFonts w:cs="Times New Roman"/>
          <w:szCs w:val="24"/>
        </w:rPr>
      </w:pPr>
    </w:p>
    <w:p w:rsidR="00B74715" w:rsidRPr="00F93FB6" w:rsidRDefault="00B74715" w:rsidP="00B74715">
      <w:pPr>
        <w:rPr>
          <w:rFonts w:cs="Times New Roman"/>
          <w:szCs w:val="24"/>
        </w:rPr>
      </w:pPr>
    </w:p>
    <w:p w:rsidR="00B74715" w:rsidRPr="00F93FB6" w:rsidRDefault="00B74715" w:rsidP="00B74715">
      <w:pPr>
        <w:pStyle w:val="StyleLeft35"/>
        <w:rPr>
          <w:rFonts w:cs="Times New Roman"/>
          <w:szCs w:val="24"/>
        </w:rPr>
      </w:pPr>
      <w:bookmarkStart w:id="9" w:name="Attorneys"/>
    </w:p>
    <w:bookmarkEnd w:id="9"/>
    <w:p w:rsidR="00B74715" w:rsidRPr="00CD7070" w:rsidRDefault="00811EFF" w:rsidP="00B74715">
      <w:pPr>
        <w:pStyle w:val="StyleLeft35"/>
        <w:rPr>
          <w:rFonts w:cs="Times New Roman"/>
          <w:szCs w:val="24"/>
        </w:rPr>
      </w:pPr>
      <w:r w:rsidRPr="00CD7070">
        <w:rPr>
          <w:rFonts w:cs="Times New Roman"/>
          <w:szCs w:val="24"/>
        </w:rPr>
        <w:t xml:space="preserve">Michael </w:t>
      </w:r>
      <w:r w:rsidR="00E22916">
        <w:rPr>
          <w:rFonts w:cs="Times New Roman"/>
          <w:szCs w:val="24"/>
        </w:rPr>
        <w:t xml:space="preserve">F. </w:t>
      </w:r>
      <w:r w:rsidRPr="00CD7070">
        <w:rPr>
          <w:rFonts w:cs="Times New Roman"/>
          <w:szCs w:val="24"/>
        </w:rPr>
        <w:t>Altschul</w:t>
      </w:r>
    </w:p>
    <w:p w:rsidR="00811EFF" w:rsidRPr="00F93FB6" w:rsidRDefault="00CD7070" w:rsidP="00B74715">
      <w:pPr>
        <w:pStyle w:val="StyleLeft35"/>
        <w:rPr>
          <w:rFonts w:cs="Times New Roman"/>
          <w:szCs w:val="24"/>
        </w:rPr>
      </w:pPr>
      <w:r>
        <w:rPr>
          <w:rFonts w:cs="Times New Roman"/>
          <w:szCs w:val="24"/>
        </w:rPr>
        <w:t xml:space="preserve">Senior </w:t>
      </w:r>
      <w:r w:rsidR="00811EFF" w:rsidRPr="00F93FB6">
        <w:rPr>
          <w:rFonts w:cs="Times New Roman"/>
          <w:szCs w:val="24"/>
        </w:rPr>
        <w:t>Vice President and General Counsel</w:t>
      </w:r>
    </w:p>
    <w:p w:rsidR="00CD7070" w:rsidRDefault="00CD7070" w:rsidP="00B74715">
      <w:pPr>
        <w:pStyle w:val="StyleLeft35"/>
        <w:rPr>
          <w:rFonts w:cs="Times New Roman"/>
          <w:b/>
          <w:szCs w:val="24"/>
        </w:rPr>
      </w:pPr>
    </w:p>
    <w:p w:rsidR="00CD7070" w:rsidRDefault="007116D9" w:rsidP="00B74715">
      <w:pPr>
        <w:pStyle w:val="StyleLeft35"/>
        <w:rPr>
          <w:rFonts w:cs="Times New Roman"/>
          <w:szCs w:val="24"/>
        </w:rPr>
      </w:pPr>
      <w:r>
        <w:rPr>
          <w:rFonts w:cs="Times New Roman"/>
          <w:szCs w:val="24"/>
        </w:rPr>
        <w:t>Scott K. Bergmann</w:t>
      </w:r>
    </w:p>
    <w:p w:rsidR="00CD7070" w:rsidRDefault="00CD7070" w:rsidP="00B74715">
      <w:pPr>
        <w:pStyle w:val="StyleLeft35"/>
        <w:rPr>
          <w:rFonts w:cs="Times New Roman"/>
          <w:szCs w:val="24"/>
        </w:rPr>
      </w:pPr>
      <w:r>
        <w:rPr>
          <w:rFonts w:cs="Times New Roman"/>
          <w:szCs w:val="24"/>
        </w:rPr>
        <w:t>Vice President, Regulatory Affairs</w:t>
      </w:r>
    </w:p>
    <w:p w:rsidR="00CD7070" w:rsidRDefault="00CD7070" w:rsidP="00B74715">
      <w:pPr>
        <w:pStyle w:val="StyleLeft35"/>
        <w:rPr>
          <w:rFonts w:cs="Times New Roman"/>
          <w:szCs w:val="24"/>
        </w:rPr>
      </w:pPr>
    </w:p>
    <w:p w:rsidR="00811EFF" w:rsidRPr="00CD7070" w:rsidRDefault="00811EFF" w:rsidP="00B74715">
      <w:pPr>
        <w:pStyle w:val="StyleLeft35"/>
        <w:rPr>
          <w:rFonts w:cs="Times New Roman"/>
          <w:szCs w:val="24"/>
        </w:rPr>
      </w:pPr>
      <w:r w:rsidRPr="00CD7070">
        <w:rPr>
          <w:rFonts w:cs="Times New Roman"/>
          <w:szCs w:val="24"/>
        </w:rPr>
        <w:t>Debbie Matties</w:t>
      </w:r>
    </w:p>
    <w:p w:rsidR="00811EFF" w:rsidRPr="00F93FB6" w:rsidRDefault="00811EFF" w:rsidP="00B74715">
      <w:pPr>
        <w:pStyle w:val="StyleLeft35"/>
        <w:rPr>
          <w:rFonts w:cs="Times New Roman"/>
          <w:szCs w:val="24"/>
        </w:rPr>
      </w:pPr>
      <w:r w:rsidRPr="00F93FB6">
        <w:rPr>
          <w:rFonts w:cs="Times New Roman"/>
          <w:szCs w:val="24"/>
        </w:rPr>
        <w:t>Vice President, Privacy</w:t>
      </w:r>
    </w:p>
    <w:p w:rsidR="00CD7070" w:rsidRDefault="00CD7070" w:rsidP="00811EFF">
      <w:pPr>
        <w:pStyle w:val="StyleLeft35"/>
        <w:rPr>
          <w:rFonts w:cs="Times New Roman"/>
          <w:b/>
          <w:szCs w:val="24"/>
        </w:rPr>
      </w:pPr>
    </w:p>
    <w:p w:rsidR="00811EFF" w:rsidRPr="00CD7070" w:rsidRDefault="00811EFF" w:rsidP="00811EFF">
      <w:pPr>
        <w:pStyle w:val="StyleLeft35"/>
        <w:rPr>
          <w:rFonts w:cs="Times New Roman"/>
          <w:szCs w:val="24"/>
        </w:rPr>
      </w:pPr>
      <w:r w:rsidRPr="00CD7070">
        <w:rPr>
          <w:rFonts w:cs="Times New Roman"/>
          <w:szCs w:val="24"/>
        </w:rPr>
        <w:t>Krista Witanowski</w:t>
      </w:r>
    </w:p>
    <w:p w:rsidR="00CD7070" w:rsidRDefault="00811EFF" w:rsidP="00811EFF">
      <w:pPr>
        <w:pStyle w:val="StyleLeft35"/>
        <w:rPr>
          <w:rFonts w:cs="Times New Roman"/>
          <w:szCs w:val="24"/>
        </w:rPr>
      </w:pPr>
      <w:r w:rsidRPr="00F93FB6">
        <w:rPr>
          <w:rFonts w:cs="Times New Roman"/>
          <w:szCs w:val="24"/>
        </w:rPr>
        <w:t xml:space="preserve">Assistant Vice President, Regulatory Affairs </w:t>
      </w:r>
    </w:p>
    <w:p w:rsidR="00CD7070" w:rsidRDefault="00CD7070" w:rsidP="00811EFF">
      <w:pPr>
        <w:pStyle w:val="StyleLeft35"/>
        <w:rPr>
          <w:rFonts w:cs="Times New Roman"/>
          <w:szCs w:val="24"/>
        </w:rPr>
      </w:pPr>
    </w:p>
    <w:p w:rsidR="003D6956" w:rsidRPr="00F93FB6" w:rsidRDefault="00CD7070" w:rsidP="00811EFF">
      <w:pPr>
        <w:pStyle w:val="StyleLeft35"/>
        <w:rPr>
          <w:rFonts w:cs="Times New Roman"/>
          <w:szCs w:val="24"/>
        </w:rPr>
      </w:pPr>
      <w:r>
        <w:rPr>
          <w:rFonts w:cs="Times New Roman"/>
          <w:szCs w:val="24"/>
        </w:rPr>
        <w:t xml:space="preserve">CTIA – The </w:t>
      </w:r>
      <w:r w:rsidR="003D6956" w:rsidRPr="00F93FB6">
        <w:rPr>
          <w:rFonts w:cs="Times New Roman"/>
          <w:szCs w:val="24"/>
        </w:rPr>
        <w:t>Wireless Association</w:t>
      </w:r>
      <w:r>
        <w:rPr>
          <w:rFonts w:cs="Times New Roman"/>
          <w:szCs w:val="24"/>
        </w:rPr>
        <w:t>®</w:t>
      </w:r>
      <w:r w:rsidR="00B74715" w:rsidRPr="00F93FB6">
        <w:rPr>
          <w:rFonts w:cs="Times New Roman"/>
          <w:szCs w:val="24"/>
        </w:rPr>
        <w:br/>
      </w:r>
      <w:r w:rsidR="003D6956" w:rsidRPr="00F93FB6">
        <w:rPr>
          <w:rFonts w:cs="Times New Roman"/>
          <w:szCs w:val="24"/>
        </w:rPr>
        <w:t>1400 16th St NW</w:t>
      </w:r>
    </w:p>
    <w:p w:rsidR="003D6956" w:rsidRPr="00F93FB6" w:rsidRDefault="003D6956" w:rsidP="003D6956">
      <w:pPr>
        <w:pStyle w:val="StyleLeft35"/>
        <w:rPr>
          <w:rFonts w:cs="Times New Roman"/>
          <w:szCs w:val="24"/>
        </w:rPr>
      </w:pPr>
      <w:r w:rsidRPr="00F93FB6">
        <w:rPr>
          <w:rFonts w:cs="Times New Roman"/>
          <w:szCs w:val="24"/>
        </w:rPr>
        <w:t>Suite 600</w:t>
      </w:r>
    </w:p>
    <w:p w:rsidR="00B74715" w:rsidRPr="00F93FB6" w:rsidRDefault="003D6956" w:rsidP="003D6956">
      <w:pPr>
        <w:pStyle w:val="StyleLeft35"/>
        <w:rPr>
          <w:rFonts w:cs="Times New Roman"/>
          <w:szCs w:val="24"/>
        </w:rPr>
      </w:pPr>
      <w:r w:rsidRPr="00F93FB6">
        <w:rPr>
          <w:rFonts w:cs="Times New Roman"/>
          <w:szCs w:val="24"/>
        </w:rPr>
        <w:t>Washington, DC  20036</w:t>
      </w:r>
    </w:p>
    <w:p w:rsidR="009A5E0F" w:rsidRPr="00F93FB6" w:rsidRDefault="009A5E0F" w:rsidP="003D6956">
      <w:pPr>
        <w:pStyle w:val="StyleLeft35"/>
        <w:rPr>
          <w:rFonts w:cs="Times New Roman"/>
          <w:szCs w:val="24"/>
        </w:rPr>
      </w:pPr>
      <w:r w:rsidRPr="00F93FB6">
        <w:rPr>
          <w:rFonts w:cs="Times New Roman"/>
          <w:szCs w:val="24"/>
        </w:rPr>
        <w:t>(202) 736-32</w:t>
      </w:r>
      <w:r w:rsidR="00CD7070">
        <w:rPr>
          <w:rFonts w:cs="Times New Roman"/>
          <w:szCs w:val="24"/>
        </w:rPr>
        <w:t>00</w:t>
      </w:r>
    </w:p>
    <w:p w:rsidR="00B74715" w:rsidRPr="00F93FB6" w:rsidRDefault="00B74715" w:rsidP="00B74715">
      <w:pPr>
        <w:rPr>
          <w:rFonts w:cs="Times New Roman"/>
          <w:szCs w:val="24"/>
        </w:rPr>
      </w:pPr>
    </w:p>
    <w:p w:rsidR="00140B2E" w:rsidRPr="00F93FB6" w:rsidRDefault="00455C0E" w:rsidP="00B74715">
      <w:pPr>
        <w:rPr>
          <w:rFonts w:cs="Times New Roman"/>
          <w:szCs w:val="24"/>
        </w:rPr>
      </w:pPr>
      <w:bookmarkStart w:id="10" w:name="FilingDate"/>
      <w:r w:rsidRPr="00F93FB6">
        <w:rPr>
          <w:rFonts w:cs="Times New Roman"/>
          <w:szCs w:val="24"/>
        </w:rPr>
        <w:t xml:space="preserve">January 17, </w:t>
      </w:r>
      <w:r w:rsidR="00431C4E" w:rsidRPr="00F93FB6">
        <w:rPr>
          <w:rFonts w:cs="Times New Roman"/>
          <w:szCs w:val="24"/>
        </w:rPr>
        <w:t>2014</w:t>
      </w:r>
    </w:p>
    <w:bookmarkEnd w:id="10"/>
    <w:p w:rsidR="00B74715" w:rsidRPr="00F93FB6" w:rsidRDefault="00B74715" w:rsidP="00B74715">
      <w:pPr>
        <w:rPr>
          <w:rFonts w:cs="Times New Roman"/>
          <w:szCs w:val="24"/>
        </w:rPr>
      </w:pPr>
    </w:p>
    <w:p w:rsidR="00B74715" w:rsidRPr="00F93FB6" w:rsidRDefault="00B74715" w:rsidP="00B74715">
      <w:pPr>
        <w:rPr>
          <w:rFonts w:cs="Times New Roman"/>
          <w:szCs w:val="24"/>
        </w:rPr>
      </w:pPr>
    </w:p>
    <w:p w:rsidR="00B74715" w:rsidRPr="00F93FB6" w:rsidRDefault="00B74715" w:rsidP="00A36642">
      <w:pPr>
        <w:rPr>
          <w:rFonts w:cs="Times New Roman"/>
          <w:szCs w:val="24"/>
        </w:rPr>
        <w:sectPr w:rsidR="00B74715" w:rsidRPr="00F93FB6" w:rsidSect="00140B2E">
          <w:pgSz w:w="12240" w:h="15840"/>
          <w:pgMar w:top="1440" w:right="1440" w:bottom="1440" w:left="1440" w:header="720" w:footer="720" w:gutter="0"/>
          <w:pgNumType w:fmt="lowerRoman" w:start="1"/>
          <w:cols w:space="720"/>
          <w:docGrid w:linePitch="360"/>
        </w:sectPr>
      </w:pPr>
    </w:p>
    <w:p w:rsidR="00B74715" w:rsidRPr="00F93FB6" w:rsidRDefault="00B74715" w:rsidP="00B74715">
      <w:pPr>
        <w:pStyle w:val="StyleBoldCentered"/>
        <w:rPr>
          <w:rFonts w:ascii="Times New Roman" w:hAnsi="Times New Roman" w:cs="Times New Roman"/>
          <w:szCs w:val="24"/>
        </w:rPr>
      </w:pPr>
      <w:r w:rsidRPr="00F93FB6">
        <w:rPr>
          <w:rFonts w:ascii="Times New Roman" w:hAnsi="Times New Roman" w:cs="Times New Roman"/>
          <w:szCs w:val="24"/>
        </w:rPr>
        <w:lastRenderedPageBreak/>
        <w:t>table of contents</w:t>
      </w:r>
    </w:p>
    <w:p w:rsidR="00B74715" w:rsidRPr="00F93FB6" w:rsidRDefault="00B74715" w:rsidP="00B74715">
      <w:pPr>
        <w:pStyle w:val="StyleBoldCentered"/>
        <w:rPr>
          <w:rFonts w:ascii="Times New Roman" w:hAnsi="Times New Roman" w:cs="Times New Roman"/>
          <w:szCs w:val="24"/>
        </w:rPr>
      </w:pPr>
    </w:p>
    <w:p w:rsidR="00EA7524" w:rsidRDefault="007312EA">
      <w:pPr>
        <w:pStyle w:val="TOC2"/>
        <w:rPr>
          <w:rFonts w:asciiTheme="minorHAnsi" w:eastAsiaTheme="minorEastAsia" w:hAnsiTheme="minorHAnsi"/>
          <w:noProof/>
          <w:sz w:val="22"/>
        </w:rPr>
      </w:pPr>
      <w:r>
        <w:rPr>
          <w:rFonts w:cs="Times New Roman"/>
          <w:szCs w:val="24"/>
        </w:rPr>
        <w:fldChar w:fldCharType="begin"/>
      </w:r>
      <w:r w:rsidR="00725B21">
        <w:rPr>
          <w:rFonts w:cs="Times New Roman"/>
          <w:szCs w:val="24"/>
        </w:rPr>
        <w:instrText xml:space="preserve"> TOC \t "Heading 1,2,Heading 2,3,Heading 3,4,Heading 4,5,Subtitle,1,Style1,3" </w:instrText>
      </w:r>
      <w:r>
        <w:rPr>
          <w:rFonts w:cs="Times New Roman"/>
          <w:szCs w:val="24"/>
        </w:rPr>
        <w:fldChar w:fldCharType="separate"/>
      </w:r>
      <w:r w:rsidR="00EA7524" w:rsidRPr="003A7A98">
        <w:rPr>
          <w:rFonts w:eastAsia="Cambria" w:cs="Times New Roman"/>
          <w:noProof/>
        </w:rPr>
        <w:t>I.</w:t>
      </w:r>
      <w:r w:rsidR="00EA7524">
        <w:rPr>
          <w:rFonts w:asciiTheme="minorHAnsi" w:eastAsiaTheme="minorEastAsia" w:hAnsiTheme="minorHAnsi"/>
          <w:noProof/>
          <w:sz w:val="22"/>
        </w:rPr>
        <w:tab/>
      </w:r>
      <w:r w:rsidR="00EA7524" w:rsidRPr="003A7A98">
        <w:rPr>
          <w:rFonts w:eastAsia="Cambria"/>
          <w:noProof/>
        </w:rPr>
        <w:t>Introduction and Summary</w:t>
      </w:r>
      <w:r w:rsidR="00EA7524">
        <w:rPr>
          <w:noProof/>
        </w:rPr>
        <w:tab/>
      </w:r>
      <w:r>
        <w:rPr>
          <w:noProof/>
        </w:rPr>
        <w:fldChar w:fldCharType="begin"/>
      </w:r>
      <w:r w:rsidR="00EA7524">
        <w:rPr>
          <w:noProof/>
        </w:rPr>
        <w:instrText xml:space="preserve"> PAGEREF _Toc377735426 \h </w:instrText>
      </w:r>
      <w:r>
        <w:rPr>
          <w:noProof/>
        </w:rPr>
      </w:r>
      <w:r>
        <w:rPr>
          <w:noProof/>
        </w:rPr>
        <w:fldChar w:fldCharType="separate"/>
      </w:r>
      <w:r w:rsidR="00EA7524">
        <w:rPr>
          <w:noProof/>
        </w:rPr>
        <w:t>1</w:t>
      </w:r>
      <w:r>
        <w:rPr>
          <w:noProof/>
        </w:rPr>
        <w:fldChar w:fldCharType="end"/>
      </w:r>
    </w:p>
    <w:p w:rsidR="00EA7524" w:rsidRDefault="00EA7524">
      <w:pPr>
        <w:pStyle w:val="TOC2"/>
        <w:rPr>
          <w:rFonts w:asciiTheme="minorHAnsi" w:eastAsiaTheme="minorEastAsia" w:hAnsiTheme="minorHAnsi"/>
          <w:noProof/>
          <w:sz w:val="22"/>
        </w:rPr>
      </w:pPr>
      <w:r w:rsidRPr="003A7A98">
        <w:rPr>
          <w:rFonts w:eastAsia="Cambria" w:cs="Times New Roman"/>
          <w:noProof/>
        </w:rPr>
        <w:t>II.</w:t>
      </w:r>
      <w:r>
        <w:rPr>
          <w:rFonts w:asciiTheme="minorHAnsi" w:eastAsiaTheme="minorEastAsia" w:hAnsiTheme="minorHAnsi"/>
          <w:noProof/>
          <w:sz w:val="22"/>
        </w:rPr>
        <w:tab/>
      </w:r>
      <w:r w:rsidRPr="003A7A98">
        <w:rPr>
          <w:rFonts w:eastAsia="Cambria"/>
          <w:noProof/>
        </w:rPr>
        <w:t>CTIA</w:t>
      </w:r>
      <w:r w:rsidRPr="003A7A98">
        <w:rPr>
          <w:rFonts w:eastAsia="Cambria" w:cs="Times New Roman"/>
          <w:noProof/>
        </w:rPr>
        <w:t xml:space="preserve"> and Its Members Prioritize Consumer Privacy and Are Committed to Protecting Customers’ CPNI</w:t>
      </w:r>
      <w:r>
        <w:rPr>
          <w:noProof/>
        </w:rPr>
        <w:tab/>
      </w:r>
      <w:r w:rsidR="007312EA">
        <w:rPr>
          <w:noProof/>
        </w:rPr>
        <w:fldChar w:fldCharType="begin"/>
      </w:r>
      <w:r>
        <w:rPr>
          <w:noProof/>
        </w:rPr>
        <w:instrText xml:space="preserve"> PAGEREF _Toc377735427 \h </w:instrText>
      </w:r>
      <w:r w:rsidR="007312EA">
        <w:rPr>
          <w:noProof/>
        </w:rPr>
      </w:r>
      <w:r w:rsidR="007312EA">
        <w:rPr>
          <w:noProof/>
        </w:rPr>
        <w:fldChar w:fldCharType="separate"/>
      </w:r>
      <w:r>
        <w:rPr>
          <w:noProof/>
        </w:rPr>
        <w:t>3</w:t>
      </w:r>
      <w:r w:rsidR="007312EA">
        <w:rPr>
          <w:noProof/>
        </w:rPr>
        <w:fldChar w:fldCharType="end"/>
      </w:r>
    </w:p>
    <w:p w:rsidR="00EA7524" w:rsidRDefault="00EA7524">
      <w:pPr>
        <w:pStyle w:val="TOC2"/>
        <w:rPr>
          <w:rFonts w:asciiTheme="minorHAnsi" w:eastAsiaTheme="minorEastAsia" w:hAnsiTheme="minorHAnsi"/>
          <w:noProof/>
          <w:sz w:val="22"/>
        </w:rPr>
      </w:pPr>
      <w:r w:rsidRPr="003A7A98">
        <w:rPr>
          <w:rFonts w:eastAsia="Cambria" w:cs="Times New Roman"/>
          <w:noProof/>
        </w:rPr>
        <w:t>III.</w:t>
      </w:r>
      <w:r>
        <w:rPr>
          <w:rFonts w:asciiTheme="minorHAnsi" w:eastAsiaTheme="minorEastAsia" w:hAnsiTheme="minorHAnsi"/>
          <w:noProof/>
          <w:sz w:val="22"/>
        </w:rPr>
        <w:tab/>
      </w:r>
      <w:r w:rsidRPr="003A7A98">
        <w:rPr>
          <w:rFonts w:eastAsia="Cambria"/>
          <w:noProof/>
        </w:rPr>
        <w:t>The Commission Should Dismiss the Petition and Rely on Enforcement of Existing CPNI Rules if a Carrier Violates Section 222</w:t>
      </w:r>
      <w:r>
        <w:rPr>
          <w:noProof/>
        </w:rPr>
        <w:tab/>
      </w:r>
      <w:r w:rsidR="007312EA">
        <w:rPr>
          <w:noProof/>
        </w:rPr>
        <w:fldChar w:fldCharType="begin"/>
      </w:r>
      <w:r>
        <w:rPr>
          <w:noProof/>
        </w:rPr>
        <w:instrText xml:space="preserve"> PAGEREF _Toc377735428 \h </w:instrText>
      </w:r>
      <w:r w:rsidR="007312EA">
        <w:rPr>
          <w:noProof/>
        </w:rPr>
      </w:r>
      <w:r w:rsidR="007312EA">
        <w:rPr>
          <w:noProof/>
        </w:rPr>
        <w:fldChar w:fldCharType="separate"/>
      </w:r>
      <w:r>
        <w:rPr>
          <w:noProof/>
        </w:rPr>
        <w:t>4</w:t>
      </w:r>
      <w:r w:rsidR="007312EA">
        <w:rPr>
          <w:noProof/>
        </w:rPr>
        <w:fldChar w:fldCharType="end"/>
      </w:r>
    </w:p>
    <w:p w:rsidR="00EA7524" w:rsidRDefault="00EA7524">
      <w:pPr>
        <w:pStyle w:val="TOC2"/>
        <w:rPr>
          <w:rFonts w:asciiTheme="minorHAnsi" w:eastAsiaTheme="minorEastAsia" w:hAnsiTheme="minorHAnsi"/>
          <w:noProof/>
          <w:sz w:val="22"/>
        </w:rPr>
      </w:pPr>
      <w:r w:rsidRPr="003A7A98">
        <w:rPr>
          <w:rFonts w:eastAsia="Cambria" w:cs="Times New Roman"/>
          <w:noProof/>
        </w:rPr>
        <w:t>IV.</w:t>
      </w:r>
      <w:r>
        <w:rPr>
          <w:rFonts w:asciiTheme="minorHAnsi" w:eastAsiaTheme="minorEastAsia" w:hAnsiTheme="minorHAnsi"/>
          <w:noProof/>
          <w:sz w:val="22"/>
        </w:rPr>
        <w:tab/>
      </w:r>
      <w:r w:rsidRPr="003A7A98">
        <w:rPr>
          <w:rFonts w:eastAsia="Cambria"/>
          <w:noProof/>
        </w:rPr>
        <w:t>Petitioners Misconstrue Section 222 by Claiming that CPNI is Either “Individually Identifiable CPNI” Under Section 222(c)(1) or “Aggregate Customer Information” Under Section 222(c)(3)</w:t>
      </w:r>
      <w:r>
        <w:rPr>
          <w:noProof/>
        </w:rPr>
        <w:tab/>
      </w:r>
      <w:r w:rsidR="007312EA">
        <w:rPr>
          <w:noProof/>
        </w:rPr>
        <w:fldChar w:fldCharType="begin"/>
      </w:r>
      <w:r>
        <w:rPr>
          <w:noProof/>
        </w:rPr>
        <w:instrText xml:space="preserve"> PAGEREF _Toc377735429 \h </w:instrText>
      </w:r>
      <w:r w:rsidR="007312EA">
        <w:rPr>
          <w:noProof/>
        </w:rPr>
      </w:r>
      <w:r w:rsidR="007312EA">
        <w:rPr>
          <w:noProof/>
        </w:rPr>
        <w:fldChar w:fldCharType="separate"/>
      </w:r>
      <w:r>
        <w:rPr>
          <w:noProof/>
        </w:rPr>
        <w:t>5</w:t>
      </w:r>
      <w:r w:rsidR="007312EA">
        <w:rPr>
          <w:noProof/>
        </w:rPr>
        <w:fldChar w:fldCharType="end"/>
      </w:r>
    </w:p>
    <w:p w:rsidR="00EA7524" w:rsidRDefault="00EA7524">
      <w:pPr>
        <w:pStyle w:val="TOC3"/>
        <w:rPr>
          <w:rFonts w:asciiTheme="minorHAnsi" w:eastAsiaTheme="minorEastAsia" w:hAnsiTheme="minorHAnsi"/>
          <w:noProof/>
          <w:sz w:val="22"/>
        </w:rPr>
      </w:pPr>
      <w:r w:rsidRPr="003A7A98">
        <w:rPr>
          <w:rFonts w:cs="Times New Roman"/>
          <w:noProof/>
        </w:rPr>
        <w:t>A.</w:t>
      </w:r>
      <w:r>
        <w:rPr>
          <w:rFonts w:asciiTheme="minorHAnsi" w:eastAsiaTheme="minorEastAsia" w:hAnsiTheme="minorHAnsi"/>
          <w:noProof/>
          <w:sz w:val="22"/>
        </w:rPr>
        <w:tab/>
      </w:r>
      <w:r>
        <w:rPr>
          <w:noProof/>
        </w:rPr>
        <w:t>Section 222 Creates Distinctions Among Types of Customer Information that Involve Differing Levels of Sensitivity</w:t>
      </w:r>
      <w:r>
        <w:rPr>
          <w:noProof/>
        </w:rPr>
        <w:tab/>
      </w:r>
      <w:r w:rsidR="007312EA">
        <w:rPr>
          <w:noProof/>
        </w:rPr>
        <w:fldChar w:fldCharType="begin"/>
      </w:r>
      <w:r>
        <w:rPr>
          <w:noProof/>
        </w:rPr>
        <w:instrText xml:space="preserve"> PAGEREF _Toc377735430 \h </w:instrText>
      </w:r>
      <w:r w:rsidR="007312EA">
        <w:rPr>
          <w:noProof/>
        </w:rPr>
      </w:r>
      <w:r w:rsidR="007312EA">
        <w:rPr>
          <w:noProof/>
        </w:rPr>
        <w:fldChar w:fldCharType="separate"/>
      </w:r>
      <w:r>
        <w:rPr>
          <w:noProof/>
        </w:rPr>
        <w:t>6</w:t>
      </w:r>
      <w:r w:rsidR="007312EA">
        <w:rPr>
          <w:noProof/>
        </w:rPr>
        <w:fldChar w:fldCharType="end"/>
      </w:r>
    </w:p>
    <w:p w:rsidR="00EA7524" w:rsidRDefault="00EA7524">
      <w:pPr>
        <w:pStyle w:val="TOC3"/>
        <w:rPr>
          <w:rFonts w:asciiTheme="minorHAnsi" w:eastAsiaTheme="minorEastAsia" w:hAnsiTheme="minorHAnsi"/>
          <w:noProof/>
          <w:sz w:val="22"/>
        </w:rPr>
      </w:pPr>
      <w:r w:rsidRPr="003A7A98">
        <w:rPr>
          <w:rFonts w:cs="Times New Roman"/>
          <w:noProof/>
        </w:rPr>
        <w:t>B.</w:t>
      </w:r>
      <w:r>
        <w:rPr>
          <w:rFonts w:asciiTheme="minorHAnsi" w:eastAsiaTheme="minorEastAsia" w:hAnsiTheme="minorHAnsi"/>
          <w:noProof/>
          <w:sz w:val="22"/>
        </w:rPr>
        <w:tab/>
      </w:r>
      <w:r>
        <w:rPr>
          <w:noProof/>
        </w:rPr>
        <w:t>Basic Canons of Statutory Construction Dictate that a Category of CPNI Exists that is Not “Individually Identifiable CPNI” and Need Not be Formulated into “Aggregate Customer Information”</w:t>
      </w:r>
      <w:r>
        <w:rPr>
          <w:noProof/>
        </w:rPr>
        <w:tab/>
      </w:r>
      <w:r w:rsidR="007312EA">
        <w:rPr>
          <w:noProof/>
        </w:rPr>
        <w:fldChar w:fldCharType="begin"/>
      </w:r>
      <w:r>
        <w:rPr>
          <w:noProof/>
        </w:rPr>
        <w:instrText xml:space="preserve"> PAGEREF _Toc377735431 \h </w:instrText>
      </w:r>
      <w:r w:rsidR="007312EA">
        <w:rPr>
          <w:noProof/>
        </w:rPr>
      </w:r>
      <w:r w:rsidR="007312EA">
        <w:rPr>
          <w:noProof/>
        </w:rPr>
        <w:fldChar w:fldCharType="separate"/>
      </w:r>
      <w:r>
        <w:rPr>
          <w:noProof/>
        </w:rPr>
        <w:t>8</w:t>
      </w:r>
      <w:r w:rsidR="007312EA">
        <w:rPr>
          <w:noProof/>
        </w:rPr>
        <w:fldChar w:fldCharType="end"/>
      </w:r>
    </w:p>
    <w:p w:rsidR="00EA7524" w:rsidRDefault="00EA7524">
      <w:pPr>
        <w:pStyle w:val="TOC3"/>
        <w:rPr>
          <w:rFonts w:asciiTheme="minorHAnsi" w:eastAsiaTheme="minorEastAsia" w:hAnsiTheme="minorHAnsi"/>
          <w:noProof/>
          <w:sz w:val="22"/>
        </w:rPr>
      </w:pPr>
      <w:r w:rsidRPr="003A7A98">
        <w:rPr>
          <w:rFonts w:cs="Times New Roman"/>
          <w:noProof/>
        </w:rPr>
        <w:t>C.</w:t>
      </w:r>
      <w:r>
        <w:rPr>
          <w:rFonts w:asciiTheme="minorHAnsi" w:eastAsiaTheme="minorEastAsia" w:hAnsiTheme="minorHAnsi"/>
          <w:noProof/>
          <w:sz w:val="22"/>
        </w:rPr>
        <w:tab/>
      </w:r>
      <w:r>
        <w:rPr>
          <w:noProof/>
        </w:rPr>
        <w:t>Congress’ Treatment of “Aggregate Customer Information” in Section 222(c)(3) Underscores It Was Not Concerned about the Privacy of Customer Information that is Not Individually Identifiable</w:t>
      </w:r>
      <w:r>
        <w:rPr>
          <w:noProof/>
        </w:rPr>
        <w:tab/>
      </w:r>
      <w:r w:rsidR="007312EA">
        <w:rPr>
          <w:noProof/>
        </w:rPr>
        <w:fldChar w:fldCharType="begin"/>
      </w:r>
      <w:r>
        <w:rPr>
          <w:noProof/>
        </w:rPr>
        <w:instrText xml:space="preserve"> PAGEREF _Toc377735432 \h </w:instrText>
      </w:r>
      <w:r w:rsidR="007312EA">
        <w:rPr>
          <w:noProof/>
        </w:rPr>
      </w:r>
      <w:r w:rsidR="007312EA">
        <w:rPr>
          <w:noProof/>
        </w:rPr>
        <w:fldChar w:fldCharType="separate"/>
      </w:r>
      <w:r>
        <w:rPr>
          <w:noProof/>
        </w:rPr>
        <w:t>11</w:t>
      </w:r>
      <w:r w:rsidR="007312EA">
        <w:rPr>
          <w:noProof/>
        </w:rPr>
        <w:fldChar w:fldCharType="end"/>
      </w:r>
    </w:p>
    <w:p w:rsidR="00EA7524" w:rsidRDefault="00EA7524">
      <w:pPr>
        <w:pStyle w:val="TOC2"/>
        <w:rPr>
          <w:rFonts w:asciiTheme="minorHAnsi" w:eastAsiaTheme="minorEastAsia" w:hAnsiTheme="minorHAnsi"/>
          <w:noProof/>
          <w:sz w:val="22"/>
        </w:rPr>
      </w:pPr>
      <w:r w:rsidRPr="003A7A98">
        <w:rPr>
          <w:rFonts w:eastAsia="Cambria" w:cs="Times New Roman"/>
          <w:noProof/>
        </w:rPr>
        <w:t>V.</w:t>
      </w:r>
      <w:r>
        <w:rPr>
          <w:rFonts w:asciiTheme="minorHAnsi" w:eastAsiaTheme="minorEastAsia" w:hAnsiTheme="minorHAnsi"/>
          <w:noProof/>
          <w:sz w:val="22"/>
        </w:rPr>
        <w:tab/>
      </w:r>
      <w:r w:rsidRPr="003A7A98">
        <w:rPr>
          <w:rFonts w:eastAsia="Cambria"/>
          <w:noProof/>
        </w:rPr>
        <w:t>De-Identified Customer Information, By Definition, is Not “Individually Identifiable CPNI” Subject to Section 222(c)(1)</w:t>
      </w:r>
      <w:r>
        <w:rPr>
          <w:noProof/>
        </w:rPr>
        <w:tab/>
      </w:r>
      <w:r w:rsidR="007312EA">
        <w:rPr>
          <w:noProof/>
        </w:rPr>
        <w:fldChar w:fldCharType="begin"/>
      </w:r>
      <w:r>
        <w:rPr>
          <w:noProof/>
        </w:rPr>
        <w:instrText xml:space="preserve"> PAGEREF _Toc377735433 \h </w:instrText>
      </w:r>
      <w:r w:rsidR="007312EA">
        <w:rPr>
          <w:noProof/>
        </w:rPr>
      </w:r>
      <w:r w:rsidR="007312EA">
        <w:rPr>
          <w:noProof/>
        </w:rPr>
        <w:fldChar w:fldCharType="separate"/>
      </w:r>
      <w:r>
        <w:rPr>
          <w:noProof/>
        </w:rPr>
        <w:t>12</w:t>
      </w:r>
      <w:r w:rsidR="007312EA">
        <w:rPr>
          <w:noProof/>
        </w:rPr>
        <w:fldChar w:fldCharType="end"/>
      </w:r>
    </w:p>
    <w:p w:rsidR="00EA7524" w:rsidRDefault="00EA7524">
      <w:pPr>
        <w:pStyle w:val="TOC2"/>
        <w:rPr>
          <w:rFonts w:asciiTheme="minorHAnsi" w:eastAsiaTheme="minorEastAsia" w:hAnsiTheme="minorHAnsi"/>
          <w:noProof/>
          <w:sz w:val="22"/>
        </w:rPr>
      </w:pPr>
      <w:r w:rsidRPr="003A7A98">
        <w:rPr>
          <w:rFonts w:eastAsia="Cambria" w:cs="Times New Roman"/>
          <w:noProof/>
        </w:rPr>
        <w:t>VI.</w:t>
      </w:r>
      <w:r>
        <w:rPr>
          <w:rFonts w:asciiTheme="minorHAnsi" w:eastAsiaTheme="minorEastAsia" w:hAnsiTheme="minorHAnsi"/>
          <w:noProof/>
          <w:sz w:val="22"/>
        </w:rPr>
        <w:tab/>
      </w:r>
      <w:r w:rsidRPr="003A7A98">
        <w:rPr>
          <w:rFonts w:eastAsia="Cambria"/>
          <w:noProof/>
        </w:rPr>
        <w:t>If the Commission Nonetheless Seeks to Place Non-Individually Identifiable Customer Information in an Articulated Statutory Category, It is Necessarily “Aggregate Customer Information”</w:t>
      </w:r>
      <w:r>
        <w:rPr>
          <w:noProof/>
        </w:rPr>
        <w:tab/>
      </w:r>
      <w:r w:rsidR="007312EA">
        <w:rPr>
          <w:noProof/>
        </w:rPr>
        <w:fldChar w:fldCharType="begin"/>
      </w:r>
      <w:r>
        <w:rPr>
          <w:noProof/>
        </w:rPr>
        <w:instrText xml:space="preserve"> PAGEREF _Toc377735434 \h </w:instrText>
      </w:r>
      <w:r w:rsidR="007312EA">
        <w:rPr>
          <w:noProof/>
        </w:rPr>
      </w:r>
      <w:r w:rsidR="007312EA">
        <w:rPr>
          <w:noProof/>
        </w:rPr>
        <w:fldChar w:fldCharType="separate"/>
      </w:r>
      <w:r>
        <w:rPr>
          <w:noProof/>
        </w:rPr>
        <w:t>13</w:t>
      </w:r>
      <w:r w:rsidR="007312EA">
        <w:rPr>
          <w:noProof/>
        </w:rPr>
        <w:fldChar w:fldCharType="end"/>
      </w:r>
    </w:p>
    <w:p w:rsidR="00EA7524" w:rsidRDefault="00EA7524">
      <w:pPr>
        <w:pStyle w:val="TOC2"/>
        <w:rPr>
          <w:rFonts w:asciiTheme="minorHAnsi" w:eastAsiaTheme="minorEastAsia" w:hAnsiTheme="minorHAnsi"/>
          <w:noProof/>
          <w:sz w:val="22"/>
        </w:rPr>
      </w:pPr>
      <w:r w:rsidRPr="003A7A98">
        <w:rPr>
          <w:rFonts w:eastAsia="Cambria" w:cs="Times New Roman"/>
          <w:noProof/>
        </w:rPr>
        <w:t>VII.</w:t>
      </w:r>
      <w:r>
        <w:rPr>
          <w:rFonts w:asciiTheme="minorHAnsi" w:eastAsiaTheme="minorEastAsia" w:hAnsiTheme="minorHAnsi"/>
          <w:noProof/>
          <w:sz w:val="22"/>
        </w:rPr>
        <w:tab/>
      </w:r>
      <w:r w:rsidRPr="003A7A98">
        <w:rPr>
          <w:rFonts w:eastAsia="Cambria"/>
          <w:noProof/>
        </w:rPr>
        <w:t>Petitioners’ Attempt to Expand the Definition of CPNI is Inconsistent With Other Federal Privacy Rules and the Administration’s Consensus-Driven Privacy Initiative</w:t>
      </w:r>
      <w:r>
        <w:rPr>
          <w:noProof/>
        </w:rPr>
        <w:tab/>
      </w:r>
      <w:r w:rsidR="007312EA">
        <w:rPr>
          <w:noProof/>
        </w:rPr>
        <w:fldChar w:fldCharType="begin"/>
      </w:r>
      <w:r>
        <w:rPr>
          <w:noProof/>
        </w:rPr>
        <w:instrText xml:space="preserve"> PAGEREF _Toc377735435 \h </w:instrText>
      </w:r>
      <w:r w:rsidR="007312EA">
        <w:rPr>
          <w:noProof/>
        </w:rPr>
      </w:r>
      <w:r w:rsidR="007312EA">
        <w:rPr>
          <w:noProof/>
        </w:rPr>
        <w:fldChar w:fldCharType="separate"/>
      </w:r>
      <w:r>
        <w:rPr>
          <w:noProof/>
        </w:rPr>
        <w:t>14</w:t>
      </w:r>
      <w:r w:rsidR="007312EA">
        <w:rPr>
          <w:noProof/>
        </w:rPr>
        <w:fldChar w:fldCharType="end"/>
      </w:r>
    </w:p>
    <w:p w:rsidR="00EA7524" w:rsidRDefault="00EA7524">
      <w:pPr>
        <w:pStyle w:val="TOC2"/>
        <w:rPr>
          <w:rFonts w:asciiTheme="minorHAnsi" w:eastAsiaTheme="minorEastAsia" w:hAnsiTheme="minorHAnsi"/>
          <w:noProof/>
          <w:sz w:val="22"/>
        </w:rPr>
      </w:pPr>
      <w:r w:rsidRPr="003A7A98">
        <w:rPr>
          <w:rFonts w:eastAsia="Cambria" w:cs="Times New Roman"/>
          <w:noProof/>
        </w:rPr>
        <w:t>VIII.</w:t>
      </w:r>
      <w:r>
        <w:rPr>
          <w:rFonts w:asciiTheme="minorHAnsi" w:eastAsiaTheme="minorEastAsia" w:hAnsiTheme="minorHAnsi"/>
          <w:noProof/>
          <w:sz w:val="22"/>
        </w:rPr>
        <w:tab/>
      </w:r>
      <w:r w:rsidRPr="003A7A98">
        <w:rPr>
          <w:rFonts w:eastAsia="Cambria"/>
          <w:noProof/>
        </w:rPr>
        <w:t>Conclusion</w:t>
      </w:r>
      <w:r>
        <w:rPr>
          <w:noProof/>
        </w:rPr>
        <w:tab/>
      </w:r>
      <w:r w:rsidR="007312EA">
        <w:rPr>
          <w:noProof/>
        </w:rPr>
        <w:fldChar w:fldCharType="begin"/>
      </w:r>
      <w:r>
        <w:rPr>
          <w:noProof/>
        </w:rPr>
        <w:instrText xml:space="preserve"> PAGEREF _Toc377735436 \h </w:instrText>
      </w:r>
      <w:r w:rsidR="007312EA">
        <w:rPr>
          <w:noProof/>
        </w:rPr>
      </w:r>
      <w:r w:rsidR="007312EA">
        <w:rPr>
          <w:noProof/>
        </w:rPr>
        <w:fldChar w:fldCharType="separate"/>
      </w:r>
      <w:r>
        <w:rPr>
          <w:noProof/>
        </w:rPr>
        <w:t>16</w:t>
      </w:r>
      <w:r w:rsidR="007312EA">
        <w:rPr>
          <w:noProof/>
        </w:rPr>
        <w:fldChar w:fldCharType="end"/>
      </w:r>
    </w:p>
    <w:p w:rsidR="00B74715" w:rsidRPr="00F93FB6" w:rsidRDefault="007312EA" w:rsidP="00B74715">
      <w:pPr>
        <w:rPr>
          <w:rFonts w:cs="Times New Roman"/>
          <w:szCs w:val="24"/>
        </w:rPr>
      </w:pPr>
      <w:r>
        <w:rPr>
          <w:rFonts w:cs="Times New Roman"/>
          <w:szCs w:val="24"/>
        </w:rPr>
        <w:fldChar w:fldCharType="end"/>
      </w:r>
    </w:p>
    <w:p w:rsidR="00E25EBB" w:rsidRPr="00F93FB6" w:rsidRDefault="00E25EBB" w:rsidP="00B74715">
      <w:pPr>
        <w:rPr>
          <w:rFonts w:cs="Times New Roman"/>
          <w:szCs w:val="24"/>
        </w:rPr>
      </w:pPr>
    </w:p>
    <w:p w:rsidR="00B72F05" w:rsidRPr="00F93FB6" w:rsidRDefault="00B72F05" w:rsidP="00B74715">
      <w:pPr>
        <w:rPr>
          <w:rFonts w:cs="Times New Roman"/>
          <w:szCs w:val="24"/>
        </w:rPr>
      </w:pPr>
    </w:p>
    <w:p w:rsidR="000D25F2" w:rsidRDefault="000D25F2" w:rsidP="000D25F2">
      <w:pPr>
        <w:ind w:firstLine="720"/>
        <w:rPr>
          <w:rFonts w:cs="Times New Roman"/>
          <w:szCs w:val="24"/>
        </w:rPr>
      </w:pPr>
      <w:bookmarkStart w:id="11" w:name="_GoBack"/>
      <w:bookmarkEnd w:id="11"/>
    </w:p>
    <w:p w:rsidR="000D25F2" w:rsidRDefault="000D25F2" w:rsidP="000D25F2">
      <w:pPr>
        <w:rPr>
          <w:rFonts w:cs="Times New Roman"/>
          <w:szCs w:val="24"/>
        </w:rPr>
      </w:pPr>
    </w:p>
    <w:p w:rsidR="00B74715" w:rsidRPr="000D25F2" w:rsidRDefault="00B74715" w:rsidP="000D25F2">
      <w:pPr>
        <w:rPr>
          <w:rFonts w:cs="Times New Roman"/>
          <w:szCs w:val="24"/>
        </w:rPr>
        <w:sectPr w:rsidR="00B74715" w:rsidRPr="000D25F2" w:rsidSect="00140B2E">
          <w:footerReference w:type="default" r:id="rId8"/>
          <w:pgSz w:w="12240" w:h="15840"/>
          <w:pgMar w:top="1440" w:right="1440" w:bottom="1440" w:left="1440" w:header="720" w:footer="720" w:gutter="0"/>
          <w:pgNumType w:fmt="lowerRoman" w:start="1"/>
          <w:cols w:space="720"/>
          <w:titlePg/>
          <w:docGrid w:linePitch="360"/>
        </w:sectPr>
      </w:pPr>
    </w:p>
    <w:p w:rsidR="00233FA5" w:rsidRPr="00F93FB6" w:rsidRDefault="00233FA5" w:rsidP="00233FA5">
      <w:pPr>
        <w:pStyle w:val="StyleCentered"/>
        <w:rPr>
          <w:rFonts w:cs="Times New Roman"/>
          <w:b/>
          <w:szCs w:val="24"/>
        </w:rPr>
      </w:pPr>
      <w:bookmarkStart w:id="12" w:name="CaptionRef"/>
      <w:r w:rsidRPr="00F93FB6">
        <w:rPr>
          <w:rFonts w:cs="Times New Roman"/>
          <w:szCs w:val="24"/>
        </w:rPr>
        <w:lastRenderedPageBreak/>
        <w:t>Before the</w:t>
      </w:r>
    </w:p>
    <w:p w:rsidR="00233FA5" w:rsidRPr="00F93FB6" w:rsidRDefault="00233FA5" w:rsidP="00233FA5">
      <w:pPr>
        <w:pStyle w:val="StyleBoldCentered"/>
        <w:rPr>
          <w:rFonts w:ascii="Times New Roman" w:hAnsi="Times New Roman" w:cs="Times New Roman"/>
          <w:szCs w:val="24"/>
        </w:rPr>
      </w:pPr>
      <w:r w:rsidRPr="00F93FB6">
        <w:rPr>
          <w:rFonts w:ascii="Times New Roman" w:hAnsi="Times New Roman" w:cs="Times New Roman"/>
          <w:szCs w:val="24"/>
        </w:rPr>
        <w:t>Federal Communications Commission</w:t>
      </w:r>
    </w:p>
    <w:p w:rsidR="00233FA5" w:rsidRPr="00F93FB6" w:rsidRDefault="00233FA5" w:rsidP="00233FA5">
      <w:pPr>
        <w:pStyle w:val="StyleCentered"/>
        <w:rPr>
          <w:rFonts w:cs="Times New Roman"/>
          <w:b/>
          <w:szCs w:val="24"/>
        </w:rPr>
      </w:pPr>
      <w:r w:rsidRPr="00F93FB6">
        <w:rPr>
          <w:rFonts w:cs="Times New Roman"/>
          <w:szCs w:val="24"/>
        </w:rPr>
        <w:t>Washington, DC  20554</w:t>
      </w:r>
    </w:p>
    <w:p w:rsidR="00233FA5" w:rsidRDefault="00233FA5" w:rsidP="00233FA5">
      <w:pPr>
        <w:rPr>
          <w:rFonts w:cs="Times New Roman"/>
          <w:szCs w:val="24"/>
        </w:rPr>
      </w:pPr>
    </w:p>
    <w:p w:rsidR="00E22916" w:rsidRDefault="00E22916" w:rsidP="00233FA5">
      <w:pPr>
        <w:rPr>
          <w:rFonts w:cs="Times New Roman"/>
          <w:szCs w:val="24"/>
        </w:rPr>
      </w:pPr>
    </w:p>
    <w:p w:rsidR="00E22916" w:rsidRPr="00F93FB6" w:rsidRDefault="00E22916" w:rsidP="00233FA5">
      <w:pPr>
        <w:rPr>
          <w:rFonts w:cs="Times New Roman"/>
          <w:szCs w:val="24"/>
        </w:rPr>
      </w:pPr>
    </w:p>
    <w:tbl>
      <w:tblPr>
        <w:tblW w:w="9372" w:type="dxa"/>
        <w:tblLayout w:type="fixed"/>
        <w:tblCellMar>
          <w:left w:w="0" w:type="dxa"/>
          <w:right w:w="0" w:type="dxa"/>
        </w:tblCellMar>
        <w:tblLook w:val="0000"/>
      </w:tblPr>
      <w:tblGrid>
        <w:gridCol w:w="5167"/>
        <w:gridCol w:w="288"/>
        <w:gridCol w:w="3917"/>
      </w:tblGrid>
      <w:tr w:rsidR="00233FA5" w:rsidRPr="00F93FB6" w:rsidTr="00A11708">
        <w:trPr>
          <w:trHeight w:hRule="exact" w:val="16"/>
        </w:trPr>
        <w:tc>
          <w:tcPr>
            <w:tcW w:w="5167" w:type="dxa"/>
            <w:shd w:val="clear" w:color="auto" w:fill="auto"/>
          </w:tcPr>
          <w:p w:rsidR="00233FA5" w:rsidRPr="00F93FB6" w:rsidRDefault="00233FA5" w:rsidP="000A7CE1">
            <w:pPr>
              <w:pStyle w:val="PartyName"/>
              <w:spacing w:after="20"/>
              <w:rPr>
                <w:rFonts w:cs="Times New Roman"/>
                <w:szCs w:val="24"/>
              </w:rPr>
            </w:pPr>
          </w:p>
        </w:tc>
        <w:tc>
          <w:tcPr>
            <w:tcW w:w="288" w:type="dxa"/>
            <w:shd w:val="clear" w:color="auto" w:fill="auto"/>
          </w:tcPr>
          <w:p w:rsidR="00233FA5" w:rsidRPr="00F93FB6" w:rsidRDefault="00233FA5" w:rsidP="000A7CE1">
            <w:pPr>
              <w:spacing w:after="20" w:line="240" w:lineRule="exact"/>
              <w:rPr>
                <w:rFonts w:cs="Times New Roman"/>
                <w:szCs w:val="24"/>
              </w:rPr>
            </w:pPr>
          </w:p>
        </w:tc>
        <w:tc>
          <w:tcPr>
            <w:tcW w:w="3917" w:type="dxa"/>
            <w:shd w:val="clear" w:color="auto" w:fill="auto"/>
          </w:tcPr>
          <w:p w:rsidR="00233FA5" w:rsidRPr="00F93FB6" w:rsidRDefault="00233FA5" w:rsidP="000A7CE1">
            <w:pPr>
              <w:pStyle w:val="CaptionRight"/>
              <w:spacing w:after="20"/>
              <w:ind w:left="0"/>
              <w:rPr>
                <w:rFonts w:cs="Times New Roman"/>
                <w:szCs w:val="24"/>
              </w:rPr>
            </w:pPr>
          </w:p>
        </w:tc>
      </w:tr>
      <w:tr w:rsidR="00233FA5" w:rsidRPr="00F93FB6" w:rsidTr="00A11708">
        <w:trPr>
          <w:trHeight w:val="1919"/>
        </w:trPr>
        <w:tc>
          <w:tcPr>
            <w:tcW w:w="5167" w:type="dxa"/>
            <w:shd w:val="clear" w:color="auto" w:fill="auto"/>
          </w:tcPr>
          <w:p w:rsidR="00233FA5" w:rsidRPr="00F93FB6" w:rsidRDefault="007312EA" w:rsidP="000A7CE1">
            <w:pPr>
              <w:pStyle w:val="PartyName"/>
              <w:rPr>
                <w:rFonts w:cs="Times New Roman"/>
                <w:szCs w:val="24"/>
              </w:rPr>
            </w:pPr>
            <w:sdt>
              <w:sdtPr>
                <w:rPr>
                  <w:rFonts w:cs="Times New Roman"/>
                  <w:szCs w:val="24"/>
                </w:rPr>
                <w:alias w:val="Edit field"/>
                <w:tag w:val="SWILI1ContentsA"/>
                <w:id w:val="680390657"/>
                <w:placeholder>
                  <w:docPart w:val="034B84AF96DD42F981A01916BBB24B85"/>
                </w:placeholder>
              </w:sdtPr>
              <w:sdtContent>
                <w:r w:rsidR="00233FA5">
                  <w:rPr>
                    <w:rFonts w:cs="Times New Roman"/>
                    <w:szCs w:val="24"/>
                  </w:rPr>
                  <w:t xml:space="preserve">In the Matter of </w:t>
                </w:r>
                <w:r w:rsidR="00233FA5">
                  <w:rPr>
                    <w:rFonts w:cs="Times New Roman"/>
                    <w:szCs w:val="24"/>
                  </w:rPr>
                  <w:tab/>
                </w:r>
                <w:r w:rsidR="00233FA5">
                  <w:rPr>
                    <w:rFonts w:cs="Times New Roman"/>
                    <w:szCs w:val="24"/>
                  </w:rPr>
                  <w:tab/>
                </w:r>
                <w:r w:rsidR="00233FA5">
                  <w:rPr>
                    <w:rFonts w:cs="Times New Roman"/>
                    <w:szCs w:val="24"/>
                  </w:rPr>
                  <w:tab/>
                </w:r>
                <w:r w:rsidR="00233FA5">
                  <w:rPr>
                    <w:rFonts w:cs="Times New Roman"/>
                    <w:szCs w:val="24"/>
                  </w:rPr>
                  <w:tab/>
                </w:r>
                <w:r w:rsidR="00233FA5">
                  <w:rPr>
                    <w:rFonts w:cs="Times New Roman"/>
                    <w:szCs w:val="24"/>
                  </w:rPr>
                  <w:tab/>
                </w:r>
                <w:r w:rsidR="00233FA5">
                  <w:rPr>
                    <w:rFonts w:cs="Times New Roman"/>
                    <w:szCs w:val="24"/>
                  </w:rPr>
                  <w:tab/>
                </w:r>
                <w:r w:rsidR="00233FA5">
                  <w:rPr>
                    <w:rFonts w:cs="Times New Roman"/>
                    <w:szCs w:val="24"/>
                  </w:rPr>
                  <w:tab/>
                </w:r>
                <w:r w:rsidR="00233FA5">
                  <w:rPr>
                    <w:rFonts w:cs="Times New Roman"/>
                    <w:szCs w:val="24"/>
                  </w:rPr>
                  <w:tab/>
                </w:r>
                <w:r w:rsidR="00233FA5">
                  <w:rPr>
                    <w:rFonts w:cs="Times New Roman"/>
                    <w:szCs w:val="24"/>
                  </w:rPr>
                  <w:tab/>
                </w:r>
                <w:r w:rsidR="00233FA5">
                  <w:rPr>
                    <w:rFonts w:cs="Times New Roman"/>
                    <w:szCs w:val="24"/>
                  </w:rPr>
                  <w:tab/>
                </w:r>
                <w:r w:rsidR="00233FA5">
                  <w:rPr>
                    <w:rFonts w:cs="Times New Roman"/>
                    <w:szCs w:val="24"/>
                  </w:rPr>
                  <w:tab/>
                  <w:t xml:space="preserve">  </w:t>
                </w:r>
                <w:r w:rsidR="00233FA5" w:rsidRPr="00F93FB6">
                  <w:rPr>
                    <w:rFonts w:cs="Times New Roman"/>
                    <w:szCs w:val="24"/>
                  </w:rPr>
                  <w:t>Petition of Public Knowledge et al. for Declaratory Ruling Stating that the Sale of Non-Aggregate Call Records by Telecommunications Providers without Customers’ Consent Violates Section 222 of the Communications Act</w:t>
                </w:r>
              </w:sdtContent>
            </w:sdt>
            <w:r w:rsidR="00233FA5" w:rsidRPr="00F93FB6">
              <w:rPr>
                <w:rFonts w:cs="Times New Roman"/>
                <w:szCs w:val="24"/>
              </w:rPr>
              <w:t xml:space="preserve"> </w:t>
            </w:r>
          </w:p>
          <w:p w:rsidR="00233FA5" w:rsidRPr="00F93FB6" w:rsidRDefault="00233FA5" w:rsidP="000A7CE1">
            <w:pPr>
              <w:pStyle w:val="PartyTitle"/>
              <w:rPr>
                <w:rFonts w:cs="Times New Roman"/>
                <w:szCs w:val="24"/>
              </w:rPr>
            </w:pPr>
          </w:p>
        </w:tc>
        <w:tc>
          <w:tcPr>
            <w:tcW w:w="288" w:type="dxa"/>
            <w:shd w:val="clear" w:color="auto" w:fill="auto"/>
          </w:tcPr>
          <w:p w:rsidR="00233FA5" w:rsidRPr="00F93FB6" w:rsidRDefault="00233FA5" w:rsidP="000A7CE1">
            <w:pPr>
              <w:spacing w:after="20" w:line="240" w:lineRule="exact"/>
              <w:rPr>
                <w:rFonts w:cs="Times New Roman"/>
                <w:szCs w:val="24"/>
              </w:rPr>
            </w:pPr>
            <w:r w:rsidRPr="00F93FB6">
              <w:rPr>
                <w:rFonts w:cs="Times New Roman"/>
                <w:szCs w:val="24"/>
              </w:rPr>
              <w:t>)</w:t>
            </w:r>
          </w:p>
          <w:p w:rsidR="00233FA5" w:rsidRPr="00F93FB6" w:rsidRDefault="00233FA5" w:rsidP="000A7CE1">
            <w:pPr>
              <w:spacing w:after="20" w:line="240" w:lineRule="exact"/>
              <w:rPr>
                <w:rFonts w:cs="Times New Roman"/>
                <w:szCs w:val="24"/>
              </w:rPr>
            </w:pPr>
            <w:r w:rsidRPr="00F93FB6">
              <w:rPr>
                <w:rFonts w:cs="Times New Roman"/>
                <w:szCs w:val="24"/>
              </w:rPr>
              <w:t>)</w:t>
            </w:r>
          </w:p>
          <w:p w:rsidR="00233FA5" w:rsidRPr="00F93FB6" w:rsidRDefault="00233FA5" w:rsidP="000A7CE1">
            <w:pPr>
              <w:spacing w:after="20" w:line="240" w:lineRule="exact"/>
              <w:rPr>
                <w:rFonts w:cs="Times New Roman"/>
                <w:szCs w:val="24"/>
              </w:rPr>
            </w:pPr>
            <w:r w:rsidRPr="00F93FB6">
              <w:rPr>
                <w:rFonts w:cs="Times New Roman"/>
                <w:szCs w:val="24"/>
              </w:rPr>
              <w:t>)</w:t>
            </w:r>
          </w:p>
          <w:p w:rsidR="00233FA5" w:rsidRPr="00F93FB6" w:rsidRDefault="00233FA5" w:rsidP="000A7CE1">
            <w:pPr>
              <w:spacing w:after="20" w:line="240" w:lineRule="exact"/>
              <w:rPr>
                <w:rFonts w:cs="Times New Roman"/>
                <w:szCs w:val="24"/>
              </w:rPr>
            </w:pPr>
            <w:r w:rsidRPr="00F93FB6">
              <w:rPr>
                <w:rFonts w:cs="Times New Roman"/>
                <w:szCs w:val="24"/>
              </w:rPr>
              <w:t>)</w:t>
            </w:r>
          </w:p>
          <w:p w:rsidR="00233FA5" w:rsidRPr="00F93FB6" w:rsidRDefault="00233FA5" w:rsidP="000A7CE1">
            <w:pPr>
              <w:spacing w:after="20" w:line="240" w:lineRule="exact"/>
              <w:rPr>
                <w:rFonts w:cs="Times New Roman"/>
                <w:szCs w:val="24"/>
              </w:rPr>
            </w:pPr>
            <w:r w:rsidRPr="00F93FB6">
              <w:rPr>
                <w:rFonts w:cs="Times New Roman"/>
                <w:szCs w:val="24"/>
              </w:rPr>
              <w:t>)</w:t>
            </w:r>
          </w:p>
          <w:p w:rsidR="00233FA5" w:rsidRPr="00F93FB6" w:rsidRDefault="00233FA5" w:rsidP="000A7CE1">
            <w:pPr>
              <w:spacing w:after="20" w:line="240" w:lineRule="exact"/>
              <w:rPr>
                <w:rFonts w:cs="Times New Roman"/>
                <w:szCs w:val="24"/>
              </w:rPr>
            </w:pPr>
            <w:r w:rsidRPr="00F93FB6">
              <w:rPr>
                <w:rFonts w:cs="Times New Roman"/>
                <w:szCs w:val="24"/>
              </w:rPr>
              <w:t>)</w:t>
            </w:r>
          </w:p>
          <w:p w:rsidR="00233FA5" w:rsidRPr="00F93FB6" w:rsidRDefault="00233FA5" w:rsidP="000A7CE1">
            <w:pPr>
              <w:spacing w:after="20" w:line="240" w:lineRule="exact"/>
              <w:rPr>
                <w:rFonts w:cs="Times New Roman"/>
                <w:szCs w:val="24"/>
              </w:rPr>
            </w:pPr>
            <w:r w:rsidRPr="00F93FB6">
              <w:rPr>
                <w:rFonts w:cs="Times New Roman"/>
                <w:szCs w:val="24"/>
              </w:rPr>
              <w:t>)</w:t>
            </w:r>
          </w:p>
        </w:tc>
        <w:tc>
          <w:tcPr>
            <w:tcW w:w="3917" w:type="dxa"/>
            <w:shd w:val="clear" w:color="auto" w:fill="auto"/>
          </w:tcPr>
          <w:p w:rsidR="00233FA5" w:rsidRPr="00F93FB6" w:rsidRDefault="00233FA5" w:rsidP="000A7CE1">
            <w:pPr>
              <w:pStyle w:val="CaptionRight"/>
              <w:ind w:left="0"/>
              <w:rPr>
                <w:rFonts w:cs="Times New Roman"/>
                <w:szCs w:val="24"/>
              </w:rPr>
            </w:pPr>
          </w:p>
          <w:p w:rsidR="00233FA5" w:rsidRPr="00F93FB6" w:rsidRDefault="00233FA5" w:rsidP="000A7CE1">
            <w:pPr>
              <w:pStyle w:val="CaptionRight"/>
              <w:ind w:left="0"/>
              <w:rPr>
                <w:rFonts w:cs="Times New Roman"/>
                <w:szCs w:val="24"/>
              </w:rPr>
            </w:pPr>
          </w:p>
          <w:p w:rsidR="00233FA5" w:rsidRPr="00F93FB6" w:rsidRDefault="00233FA5" w:rsidP="000A7CE1">
            <w:pPr>
              <w:pStyle w:val="CaptionRight"/>
              <w:ind w:left="0"/>
              <w:rPr>
                <w:rFonts w:cs="Times New Roman"/>
                <w:szCs w:val="24"/>
              </w:rPr>
            </w:pPr>
            <w:r w:rsidRPr="00F93FB6">
              <w:rPr>
                <w:rFonts w:cs="Times New Roman"/>
                <w:szCs w:val="24"/>
              </w:rPr>
              <w:t>WC Docket No. 13-306</w:t>
            </w:r>
          </w:p>
        </w:tc>
      </w:tr>
      <w:bookmarkEnd w:id="7"/>
      <w:bookmarkEnd w:id="12"/>
    </w:tbl>
    <w:p w:rsidR="00B74715" w:rsidRPr="00F93FB6" w:rsidRDefault="00B74715" w:rsidP="00B74715">
      <w:pPr>
        <w:rPr>
          <w:rFonts w:cs="Times New Roman"/>
          <w:szCs w:val="24"/>
        </w:rPr>
      </w:pPr>
    </w:p>
    <w:p w:rsidR="00065562" w:rsidRPr="00A11708" w:rsidRDefault="00CD7070" w:rsidP="00A11708">
      <w:pPr>
        <w:pStyle w:val="Title"/>
        <w:rPr>
          <w:rFonts w:ascii="Times New Roman" w:hAnsi="Times New Roman" w:cs="Times New Roman"/>
          <w:szCs w:val="24"/>
        </w:rPr>
      </w:pPr>
      <w:r w:rsidRPr="00F93FB6">
        <w:rPr>
          <w:rFonts w:ascii="Times New Roman" w:hAnsi="Times New Roman" w:cs="Times New Roman"/>
          <w:szCs w:val="24"/>
        </w:rPr>
        <w:t xml:space="preserve">Comments of </w:t>
      </w:r>
      <w:r>
        <w:rPr>
          <w:rFonts w:ascii="Times New Roman" w:hAnsi="Times New Roman" w:cs="Times New Roman"/>
          <w:szCs w:val="24"/>
        </w:rPr>
        <w:t xml:space="preserve">CTIA – The </w:t>
      </w:r>
      <w:r w:rsidRPr="00F93FB6">
        <w:rPr>
          <w:rFonts w:ascii="Times New Roman" w:hAnsi="Times New Roman" w:cs="Times New Roman"/>
          <w:szCs w:val="24"/>
        </w:rPr>
        <w:t>Wireless Association</w:t>
      </w:r>
      <w:r>
        <w:rPr>
          <w:rFonts w:ascii="Times New Roman" w:hAnsi="Times New Roman" w:cs="Times New Roman"/>
          <w:szCs w:val="24"/>
        </w:rPr>
        <w:t>®</w:t>
      </w:r>
      <w:r w:rsidRPr="00F93FB6">
        <w:rPr>
          <w:rFonts w:ascii="Times New Roman" w:hAnsi="Times New Roman" w:cs="Times New Roman"/>
          <w:szCs w:val="24"/>
        </w:rPr>
        <w:t xml:space="preserve"> </w:t>
      </w:r>
    </w:p>
    <w:p w:rsidR="00065562" w:rsidRPr="00F93FB6" w:rsidRDefault="00065562" w:rsidP="00002674">
      <w:pPr>
        <w:pStyle w:val="Heading1"/>
        <w:rPr>
          <w:rFonts w:eastAsia="Cambria"/>
        </w:rPr>
      </w:pPr>
      <w:bookmarkStart w:id="13" w:name="_Toc377735426"/>
      <w:r w:rsidRPr="00F93FB6">
        <w:rPr>
          <w:rFonts w:eastAsia="Cambria"/>
        </w:rPr>
        <w:t>Introduction</w:t>
      </w:r>
      <w:r w:rsidR="008942E4">
        <w:rPr>
          <w:rFonts w:eastAsia="Cambria"/>
        </w:rPr>
        <w:t xml:space="preserve"> and Summary</w:t>
      </w:r>
      <w:bookmarkEnd w:id="13"/>
    </w:p>
    <w:p w:rsidR="007B29B3" w:rsidRDefault="008904ED" w:rsidP="007116D9">
      <w:pPr>
        <w:pStyle w:val="BodyText2"/>
        <w:rPr>
          <w:rFonts w:eastAsia="Cambria" w:cs="Times New Roman"/>
          <w:szCs w:val="24"/>
        </w:rPr>
      </w:pPr>
      <w:r>
        <w:rPr>
          <w:rFonts w:eastAsia="Cambria" w:cs="Times New Roman"/>
          <w:szCs w:val="24"/>
        </w:rPr>
        <w:t xml:space="preserve">CTIA – The </w:t>
      </w:r>
      <w:r w:rsidRPr="00A11708">
        <w:t>Wireless</w:t>
      </w:r>
      <w:r>
        <w:rPr>
          <w:rFonts w:eastAsia="Cambria" w:cs="Times New Roman"/>
          <w:szCs w:val="24"/>
        </w:rPr>
        <w:t xml:space="preserve"> Association® (“CTIA”)</w:t>
      </w:r>
      <w:r w:rsidR="00697A27">
        <w:rPr>
          <w:rStyle w:val="FootnoteReference"/>
          <w:rFonts w:eastAsia="Cambria" w:cs="Times New Roman"/>
          <w:szCs w:val="24"/>
        </w:rPr>
        <w:footnoteReference w:id="1"/>
      </w:r>
      <w:r w:rsidR="007116D9">
        <w:rPr>
          <w:rFonts w:eastAsia="Cambria" w:cs="Times New Roman"/>
          <w:szCs w:val="24"/>
        </w:rPr>
        <w:t xml:space="preserve"> </w:t>
      </w:r>
      <w:r>
        <w:rPr>
          <w:rFonts w:eastAsia="Cambria" w:cs="Times New Roman"/>
          <w:szCs w:val="24"/>
        </w:rPr>
        <w:t xml:space="preserve">submits </w:t>
      </w:r>
      <w:r w:rsidR="007B29B3">
        <w:rPr>
          <w:rFonts w:eastAsia="Cambria" w:cs="Times New Roman"/>
          <w:szCs w:val="24"/>
        </w:rPr>
        <w:t>these</w:t>
      </w:r>
      <w:r>
        <w:rPr>
          <w:rFonts w:eastAsia="Cambria" w:cs="Times New Roman"/>
          <w:szCs w:val="24"/>
        </w:rPr>
        <w:t xml:space="preserve"> comments in response to</w:t>
      </w:r>
      <w:r w:rsidR="00A11708">
        <w:rPr>
          <w:rFonts w:eastAsia="Cambria" w:cs="Times New Roman"/>
          <w:szCs w:val="24"/>
        </w:rPr>
        <w:t xml:space="preserve"> the </w:t>
      </w:r>
      <w:r w:rsidR="00766720">
        <w:rPr>
          <w:rFonts w:eastAsia="Cambria" w:cs="Times New Roman"/>
          <w:szCs w:val="24"/>
        </w:rPr>
        <w:t xml:space="preserve">above-captioned </w:t>
      </w:r>
      <w:r w:rsidR="00A11708">
        <w:rPr>
          <w:rFonts w:eastAsia="Cambria" w:cs="Times New Roman"/>
          <w:szCs w:val="24"/>
        </w:rPr>
        <w:t xml:space="preserve">petition </w:t>
      </w:r>
      <w:r w:rsidR="00766720">
        <w:rPr>
          <w:rFonts w:eastAsia="Cambria" w:cs="Times New Roman"/>
          <w:szCs w:val="24"/>
        </w:rPr>
        <w:t xml:space="preserve">filed by Public Knowledge </w:t>
      </w:r>
      <w:r w:rsidR="000B6B76">
        <w:rPr>
          <w:rFonts w:eastAsia="Cambria" w:cs="Times New Roman"/>
          <w:szCs w:val="24"/>
        </w:rPr>
        <w:t>et al</w:t>
      </w:r>
      <w:r w:rsidR="00F96044">
        <w:rPr>
          <w:rFonts w:eastAsia="Cambria" w:cs="Times New Roman"/>
          <w:szCs w:val="24"/>
        </w:rPr>
        <w:t>.</w:t>
      </w:r>
      <w:r w:rsidR="007116D9">
        <w:rPr>
          <w:rFonts w:eastAsia="Cambria" w:cs="Times New Roman"/>
          <w:szCs w:val="24"/>
        </w:rPr>
        <w:t xml:space="preserve"> (“Petitioners”)</w:t>
      </w:r>
      <w:r w:rsidR="00A11708">
        <w:rPr>
          <w:rFonts w:eastAsia="Cambria" w:cs="Times New Roman"/>
          <w:szCs w:val="24"/>
        </w:rPr>
        <w:t>.</w:t>
      </w:r>
      <w:r w:rsidR="00A11708">
        <w:rPr>
          <w:rStyle w:val="FootnoteReference"/>
          <w:rFonts w:eastAsia="Cambria" w:cs="Times New Roman"/>
          <w:szCs w:val="24"/>
        </w:rPr>
        <w:footnoteReference w:id="2"/>
      </w:r>
      <w:r w:rsidR="00A11708">
        <w:rPr>
          <w:rFonts w:eastAsia="Cambria" w:cs="Times New Roman"/>
          <w:szCs w:val="24"/>
        </w:rPr>
        <w:t xml:space="preserve">  </w:t>
      </w:r>
      <w:r w:rsidR="009F0814" w:rsidRPr="009F0814">
        <w:rPr>
          <w:rFonts w:eastAsia="Cambria" w:cs="Times New Roman"/>
          <w:szCs w:val="24"/>
        </w:rPr>
        <w:t xml:space="preserve">CTIA members are committed to protecting the privacy of their customers pursuant to Section 222 of the Communications Act of 1934, as amended (the “Act”) and, more generally, under federal </w:t>
      </w:r>
      <w:r w:rsidR="007B29B3">
        <w:rPr>
          <w:rFonts w:eastAsia="Cambria" w:cs="Times New Roman"/>
          <w:szCs w:val="24"/>
        </w:rPr>
        <w:t xml:space="preserve">and state </w:t>
      </w:r>
      <w:r w:rsidR="009F0814" w:rsidRPr="009F0814">
        <w:rPr>
          <w:rFonts w:eastAsia="Cambria" w:cs="Times New Roman"/>
          <w:szCs w:val="24"/>
        </w:rPr>
        <w:t xml:space="preserve">privacy laws and self-regulatory codes.  </w:t>
      </w:r>
      <w:r w:rsidR="00A11708">
        <w:rPr>
          <w:rFonts w:eastAsia="Cambria" w:cs="Times New Roman"/>
          <w:szCs w:val="24"/>
        </w:rPr>
        <w:t>Petition</w:t>
      </w:r>
      <w:r w:rsidR="007116D9">
        <w:rPr>
          <w:rFonts w:eastAsia="Cambria" w:cs="Times New Roman"/>
          <w:szCs w:val="24"/>
        </w:rPr>
        <w:t>ers, however,</w:t>
      </w:r>
      <w:r w:rsidR="00A11708">
        <w:rPr>
          <w:rFonts w:eastAsia="Cambria" w:cs="Times New Roman"/>
          <w:szCs w:val="24"/>
        </w:rPr>
        <w:t xml:space="preserve"> </w:t>
      </w:r>
      <w:r w:rsidR="007116D9">
        <w:rPr>
          <w:rFonts w:eastAsia="Cambria" w:cs="Times New Roman"/>
          <w:szCs w:val="24"/>
        </w:rPr>
        <w:t xml:space="preserve">misread </w:t>
      </w:r>
      <w:r w:rsidR="00766720">
        <w:rPr>
          <w:rFonts w:eastAsia="Cambria" w:cs="Times New Roman"/>
          <w:szCs w:val="24"/>
        </w:rPr>
        <w:t xml:space="preserve">Section 222 </w:t>
      </w:r>
      <w:r w:rsidR="007116D9">
        <w:rPr>
          <w:rFonts w:eastAsia="Cambria" w:cs="Times New Roman"/>
          <w:szCs w:val="24"/>
        </w:rPr>
        <w:t xml:space="preserve">in </w:t>
      </w:r>
      <w:r w:rsidR="007116D9">
        <w:rPr>
          <w:rFonts w:eastAsia="Cambria" w:cs="Times New Roman"/>
          <w:szCs w:val="24"/>
        </w:rPr>
        <w:lastRenderedPageBreak/>
        <w:t>asserting that</w:t>
      </w:r>
      <w:r w:rsidR="007116D9" w:rsidDel="007116D9">
        <w:rPr>
          <w:rFonts w:eastAsia="Cambria" w:cs="Times New Roman"/>
          <w:szCs w:val="24"/>
        </w:rPr>
        <w:t xml:space="preserve"> </w:t>
      </w:r>
      <w:r w:rsidR="00766720">
        <w:rPr>
          <w:rFonts w:eastAsia="Cambria" w:cs="Times New Roman"/>
          <w:szCs w:val="24"/>
        </w:rPr>
        <w:t xml:space="preserve">anonymized or de-identified call records constitute </w:t>
      </w:r>
      <w:r w:rsidR="000B6B76">
        <w:rPr>
          <w:rFonts w:eastAsia="Cambria" w:cs="Times New Roman"/>
          <w:szCs w:val="24"/>
        </w:rPr>
        <w:t>“</w:t>
      </w:r>
      <w:r w:rsidR="00766720">
        <w:rPr>
          <w:rFonts w:eastAsia="Cambria" w:cs="Times New Roman"/>
          <w:szCs w:val="24"/>
        </w:rPr>
        <w:t>individually identifiable</w:t>
      </w:r>
      <w:r w:rsidR="000B6B76">
        <w:rPr>
          <w:rFonts w:eastAsia="Cambria" w:cs="Times New Roman"/>
          <w:szCs w:val="24"/>
        </w:rPr>
        <w:t>”</w:t>
      </w:r>
      <w:r w:rsidR="00766720">
        <w:rPr>
          <w:rFonts w:eastAsia="Cambria" w:cs="Times New Roman"/>
          <w:szCs w:val="24"/>
        </w:rPr>
        <w:t xml:space="preserve"> </w:t>
      </w:r>
      <w:r w:rsidR="009F0814">
        <w:rPr>
          <w:rFonts w:eastAsia="Cambria" w:cs="Times New Roman"/>
          <w:szCs w:val="24"/>
        </w:rPr>
        <w:t>customer proprietary network information (“CPNI”)</w:t>
      </w:r>
      <w:r w:rsidR="007116D9">
        <w:rPr>
          <w:rFonts w:eastAsia="Cambria" w:cs="Times New Roman"/>
          <w:szCs w:val="24"/>
        </w:rPr>
        <w:t xml:space="preserve"> </w:t>
      </w:r>
      <w:r w:rsidR="00766720">
        <w:rPr>
          <w:rFonts w:eastAsia="Cambria" w:cs="Times New Roman"/>
          <w:szCs w:val="24"/>
        </w:rPr>
        <w:t>under Section 222</w:t>
      </w:r>
      <w:r w:rsidR="007116D9">
        <w:rPr>
          <w:rFonts w:eastAsia="Cambria" w:cs="Times New Roman"/>
          <w:szCs w:val="24"/>
        </w:rPr>
        <w:t xml:space="preserve">(c)(1).  </w:t>
      </w:r>
      <w:r w:rsidR="00766720">
        <w:rPr>
          <w:rFonts w:eastAsia="Cambria" w:cs="Times New Roman"/>
          <w:szCs w:val="24"/>
        </w:rPr>
        <w:t xml:space="preserve"> </w:t>
      </w:r>
    </w:p>
    <w:p w:rsidR="007B29B3" w:rsidRPr="00F93FB6" w:rsidRDefault="007B29B3" w:rsidP="007B29B3">
      <w:pPr>
        <w:pStyle w:val="BodyText2"/>
        <w:rPr>
          <w:rFonts w:eastAsia="Cambria" w:cs="Times New Roman"/>
          <w:szCs w:val="24"/>
        </w:rPr>
      </w:pPr>
      <w:r w:rsidRPr="00CA1D3F">
        <w:rPr>
          <w:rFonts w:eastAsia="Cambria" w:cs="Times New Roman"/>
          <w:szCs w:val="24"/>
        </w:rPr>
        <w:t>Congress intended the Commission’s CPNI rules to protect information acquired through the customer-carrier relationship, with particular protections for information that is personal, sensitive, and individually identifiable.  Individually identifiable CPNI is sensitive because it “includes information that is extremely personal to customers … such as to whom, where and when a customer places a call, as well as the types of service offerings to which the customer subscribes and the extent the service is used.”</w:t>
      </w:r>
      <w:r w:rsidRPr="00CA1D3F">
        <w:rPr>
          <w:rStyle w:val="FootnoteReference"/>
          <w:rFonts w:eastAsia="Cambria" w:cs="Times New Roman"/>
          <w:szCs w:val="24"/>
        </w:rPr>
        <w:footnoteReference w:id="3"/>
      </w:r>
      <w:r w:rsidRPr="00CA1D3F">
        <w:rPr>
          <w:rFonts w:eastAsia="Cambria" w:cs="Times New Roman"/>
          <w:szCs w:val="24"/>
        </w:rPr>
        <w:t xml:space="preserve">  In contrast, there is nothing in the statute or FCC rules that suggests </w:t>
      </w:r>
      <w:r>
        <w:rPr>
          <w:rFonts w:eastAsia="Cambria" w:cs="Times New Roman"/>
          <w:szCs w:val="24"/>
        </w:rPr>
        <w:t xml:space="preserve">customer </w:t>
      </w:r>
      <w:r w:rsidRPr="00CA1D3F">
        <w:rPr>
          <w:rFonts w:eastAsia="Cambria" w:cs="Times New Roman"/>
          <w:szCs w:val="24"/>
        </w:rPr>
        <w:t>information stripped of individually identifiable characteristics and identities is subject to the same limitations as information possessing such characteristics.</w:t>
      </w:r>
      <w:r>
        <w:rPr>
          <w:rFonts w:eastAsia="Cambria" w:cs="Times New Roman"/>
          <w:szCs w:val="24"/>
        </w:rPr>
        <w:t xml:space="preserve">  </w:t>
      </w:r>
      <w:r w:rsidRPr="00F93FB6">
        <w:rPr>
          <w:rFonts w:eastAsia="Cambria" w:cs="Times New Roman"/>
          <w:szCs w:val="24"/>
        </w:rPr>
        <w:t xml:space="preserve"> </w:t>
      </w:r>
    </w:p>
    <w:p w:rsidR="007116D9" w:rsidRDefault="00620327" w:rsidP="007116D9">
      <w:pPr>
        <w:pStyle w:val="BodyText2"/>
        <w:rPr>
          <w:rFonts w:eastAsia="Cambria" w:cs="Times New Roman"/>
          <w:szCs w:val="24"/>
        </w:rPr>
      </w:pPr>
      <w:r>
        <w:rPr>
          <w:rFonts w:eastAsia="Cambria" w:cs="Times New Roman"/>
          <w:szCs w:val="24"/>
        </w:rPr>
        <w:t>T</w:t>
      </w:r>
      <w:r w:rsidR="00766720">
        <w:rPr>
          <w:rFonts w:eastAsia="Cambria" w:cs="Times New Roman"/>
          <w:szCs w:val="24"/>
        </w:rPr>
        <w:t xml:space="preserve">he Commission </w:t>
      </w:r>
      <w:r>
        <w:rPr>
          <w:rFonts w:eastAsia="Cambria" w:cs="Times New Roman"/>
          <w:szCs w:val="24"/>
        </w:rPr>
        <w:t>should</w:t>
      </w:r>
      <w:r w:rsidR="00766720">
        <w:rPr>
          <w:rFonts w:eastAsia="Cambria" w:cs="Times New Roman"/>
          <w:szCs w:val="24"/>
        </w:rPr>
        <w:t xml:space="preserve"> dismiss the Petition </w:t>
      </w:r>
      <w:r w:rsidR="007116D9">
        <w:rPr>
          <w:rFonts w:eastAsia="Cambria" w:cs="Times New Roman"/>
          <w:szCs w:val="24"/>
        </w:rPr>
        <w:t>for the following reasons:</w:t>
      </w:r>
    </w:p>
    <w:p w:rsidR="009F0814" w:rsidRDefault="007116D9" w:rsidP="007111AC">
      <w:pPr>
        <w:pStyle w:val="BodyText2"/>
        <w:numPr>
          <w:ilvl w:val="0"/>
          <w:numId w:val="12"/>
        </w:numPr>
        <w:spacing w:line="240" w:lineRule="auto"/>
        <w:rPr>
          <w:rFonts w:eastAsia="Cambria" w:cs="Times New Roman"/>
          <w:szCs w:val="24"/>
        </w:rPr>
      </w:pPr>
      <w:r>
        <w:rPr>
          <w:rFonts w:eastAsia="Cambria" w:cs="Times New Roman"/>
          <w:szCs w:val="24"/>
        </w:rPr>
        <w:t xml:space="preserve">Petitioners </w:t>
      </w:r>
      <w:r w:rsidR="009F0814">
        <w:rPr>
          <w:rFonts w:eastAsia="Cambria" w:cs="Times New Roman"/>
          <w:szCs w:val="24"/>
        </w:rPr>
        <w:t xml:space="preserve">offer only </w:t>
      </w:r>
      <w:r>
        <w:rPr>
          <w:rFonts w:eastAsia="Cambria" w:cs="Times New Roman"/>
          <w:szCs w:val="24"/>
        </w:rPr>
        <w:t xml:space="preserve">broad, vague, and speculative claims </w:t>
      </w:r>
      <w:r w:rsidR="009F0814" w:rsidRPr="009F0814">
        <w:rPr>
          <w:rFonts w:eastAsia="Cambria" w:cs="Times New Roman"/>
          <w:szCs w:val="24"/>
        </w:rPr>
        <w:t>and fail to provide any facts or legal arguments to warrant a declaratory ruling.</w:t>
      </w:r>
      <w:r w:rsidR="009F0814">
        <w:rPr>
          <w:rFonts w:eastAsia="Cambria" w:cs="Times New Roman"/>
          <w:szCs w:val="24"/>
        </w:rPr>
        <w:t xml:space="preserve">  </w:t>
      </w:r>
      <w:r w:rsidR="00620327">
        <w:rPr>
          <w:rFonts w:eastAsia="Cambria" w:cs="Times New Roman"/>
          <w:szCs w:val="24"/>
        </w:rPr>
        <w:t>T</w:t>
      </w:r>
      <w:r w:rsidR="009A502F">
        <w:rPr>
          <w:rFonts w:eastAsia="Cambria" w:cs="Times New Roman"/>
          <w:szCs w:val="24"/>
        </w:rPr>
        <w:t>he</w:t>
      </w:r>
      <w:r w:rsidR="009F0814">
        <w:rPr>
          <w:rFonts w:eastAsia="Cambria" w:cs="Times New Roman"/>
          <w:szCs w:val="24"/>
        </w:rPr>
        <w:t xml:space="preserve"> FCC’s existing CPNI rules and enforcement process are sufficient to address any situation in which a carrier unlawfully ma</w:t>
      </w:r>
      <w:r w:rsidR="00620327">
        <w:rPr>
          <w:rFonts w:eastAsia="Cambria" w:cs="Times New Roman"/>
          <w:szCs w:val="24"/>
        </w:rPr>
        <w:t xml:space="preserve">kes </w:t>
      </w:r>
      <w:r w:rsidR="009F0814">
        <w:rPr>
          <w:rFonts w:eastAsia="Cambria" w:cs="Times New Roman"/>
          <w:szCs w:val="24"/>
        </w:rPr>
        <w:t>CPNI available to a third party.</w:t>
      </w:r>
    </w:p>
    <w:p w:rsidR="007116D9" w:rsidRDefault="009F0814" w:rsidP="007111AC">
      <w:pPr>
        <w:pStyle w:val="BodyText2"/>
        <w:spacing w:line="240" w:lineRule="auto"/>
        <w:ind w:left="720" w:firstLine="0"/>
        <w:rPr>
          <w:rFonts w:eastAsia="Cambria" w:cs="Times New Roman"/>
          <w:szCs w:val="24"/>
        </w:rPr>
      </w:pPr>
      <w:r>
        <w:rPr>
          <w:rFonts w:eastAsia="Cambria" w:cs="Times New Roman"/>
          <w:szCs w:val="24"/>
        </w:rPr>
        <w:t xml:space="preserve"> </w:t>
      </w:r>
    </w:p>
    <w:p w:rsidR="009F0814" w:rsidRDefault="00940DB9" w:rsidP="007111AC">
      <w:pPr>
        <w:pStyle w:val="BodyText2"/>
        <w:numPr>
          <w:ilvl w:val="0"/>
          <w:numId w:val="12"/>
        </w:numPr>
        <w:spacing w:line="240" w:lineRule="auto"/>
        <w:rPr>
          <w:rFonts w:eastAsia="Cambria" w:cs="Times New Roman"/>
          <w:szCs w:val="24"/>
        </w:rPr>
      </w:pPr>
      <w:r>
        <w:rPr>
          <w:rFonts w:eastAsia="Cambria" w:cs="Times New Roman"/>
          <w:szCs w:val="24"/>
        </w:rPr>
        <w:t>B</w:t>
      </w:r>
      <w:r w:rsidR="00BF02D9">
        <w:rPr>
          <w:rFonts w:eastAsia="Cambria" w:cs="Times New Roman"/>
          <w:szCs w:val="24"/>
        </w:rPr>
        <w:t>asic principles of statutory construction and the underlying intent of Section 222 cannot support Petitioners’ desired reading of the law.  De-identified CPNI, put simply, is not “individually identifiable” CPNI under Section 222(c)(1), and it is not the type of sensitive, personal data for which Congress intended the protections of that section to apply.</w:t>
      </w:r>
      <w:r w:rsidR="00BF02D9" w:rsidRPr="00BF02D9">
        <w:rPr>
          <w:rFonts w:eastAsia="Cambria" w:cs="Times New Roman"/>
          <w:szCs w:val="24"/>
        </w:rPr>
        <w:t xml:space="preserve"> </w:t>
      </w:r>
      <w:r w:rsidR="00BF02D9">
        <w:rPr>
          <w:rFonts w:eastAsia="Cambria" w:cs="Times New Roman"/>
          <w:szCs w:val="24"/>
        </w:rPr>
        <w:t xml:space="preserve"> Rather, if customer information is not individually identifiable and is not aggregate, it falls into a separate category: non-individually identifiable CPNI, or de-identified CPNI.</w:t>
      </w:r>
    </w:p>
    <w:p w:rsidR="00940DB9" w:rsidRDefault="00940DB9" w:rsidP="007111AC">
      <w:pPr>
        <w:pStyle w:val="BodyText2"/>
        <w:spacing w:line="240" w:lineRule="auto"/>
        <w:ind w:left="720" w:firstLine="0"/>
        <w:rPr>
          <w:rFonts w:eastAsia="Cambria" w:cs="Times New Roman"/>
          <w:szCs w:val="24"/>
        </w:rPr>
      </w:pPr>
    </w:p>
    <w:p w:rsidR="00940DB9" w:rsidRDefault="002040DF" w:rsidP="007111AC">
      <w:pPr>
        <w:pStyle w:val="BodyText2"/>
        <w:numPr>
          <w:ilvl w:val="0"/>
          <w:numId w:val="12"/>
        </w:numPr>
        <w:spacing w:line="240" w:lineRule="auto"/>
        <w:rPr>
          <w:rFonts w:eastAsia="Cambria" w:cs="Times New Roman"/>
          <w:szCs w:val="24"/>
        </w:rPr>
      </w:pPr>
      <w:r>
        <w:rPr>
          <w:rFonts w:eastAsia="Cambria" w:cs="Times New Roman"/>
          <w:szCs w:val="24"/>
        </w:rPr>
        <w:t xml:space="preserve">If the Commission </w:t>
      </w:r>
      <w:r w:rsidR="00620327">
        <w:rPr>
          <w:rFonts w:eastAsia="Cambria" w:cs="Times New Roman"/>
          <w:szCs w:val="24"/>
        </w:rPr>
        <w:t xml:space="preserve">nonetheless </w:t>
      </w:r>
      <w:r>
        <w:rPr>
          <w:rFonts w:eastAsia="Cambria" w:cs="Times New Roman"/>
          <w:szCs w:val="24"/>
        </w:rPr>
        <w:t xml:space="preserve">believes it must classify individual, de-identified customer information into a category identified in the statute, the </w:t>
      </w:r>
      <w:r w:rsidR="00620327">
        <w:rPr>
          <w:rFonts w:eastAsia="Cambria" w:cs="Times New Roman"/>
          <w:szCs w:val="24"/>
        </w:rPr>
        <w:t>only permissible</w:t>
      </w:r>
      <w:r>
        <w:rPr>
          <w:rFonts w:eastAsia="Cambria" w:cs="Times New Roman"/>
          <w:szCs w:val="24"/>
        </w:rPr>
        <w:t xml:space="preserve"> conclusion is that it becomes “aggregate customer information” because it involves collective data stripped of sensitive information t</w:t>
      </w:r>
      <w:r w:rsidR="00620327">
        <w:rPr>
          <w:rFonts w:eastAsia="Cambria" w:cs="Times New Roman"/>
          <w:szCs w:val="24"/>
        </w:rPr>
        <w:t>ied</w:t>
      </w:r>
      <w:r>
        <w:rPr>
          <w:rFonts w:eastAsia="Cambria" w:cs="Times New Roman"/>
          <w:szCs w:val="24"/>
        </w:rPr>
        <w:t xml:space="preserve"> to a specific, individual customer.</w:t>
      </w:r>
    </w:p>
    <w:p w:rsidR="002040DF" w:rsidRDefault="002040DF" w:rsidP="007111AC">
      <w:pPr>
        <w:pStyle w:val="BodyText2"/>
        <w:spacing w:line="240" w:lineRule="auto"/>
        <w:ind w:left="720" w:firstLine="0"/>
        <w:rPr>
          <w:rFonts w:eastAsia="Cambria" w:cs="Times New Roman"/>
          <w:szCs w:val="24"/>
        </w:rPr>
      </w:pPr>
    </w:p>
    <w:p w:rsidR="002040DF" w:rsidRDefault="002040DF" w:rsidP="007111AC">
      <w:pPr>
        <w:pStyle w:val="BodyText2"/>
        <w:numPr>
          <w:ilvl w:val="0"/>
          <w:numId w:val="12"/>
        </w:numPr>
        <w:spacing w:line="240" w:lineRule="auto"/>
        <w:rPr>
          <w:rFonts w:eastAsia="Cambria" w:cs="Times New Roman"/>
          <w:szCs w:val="24"/>
        </w:rPr>
      </w:pPr>
      <w:r>
        <w:rPr>
          <w:rFonts w:eastAsia="Cambria" w:cs="Times New Roman"/>
          <w:szCs w:val="24"/>
        </w:rPr>
        <w:lastRenderedPageBreak/>
        <w:t>Finally</w:t>
      </w:r>
      <w:r w:rsidR="000B6B76">
        <w:rPr>
          <w:rFonts w:eastAsia="Cambria" w:cs="Times New Roman"/>
          <w:szCs w:val="24"/>
        </w:rPr>
        <w:t xml:space="preserve">, </w:t>
      </w:r>
      <w:r w:rsidR="000B1D89">
        <w:rPr>
          <w:rFonts w:eastAsia="Cambria" w:cs="Times New Roman"/>
          <w:szCs w:val="24"/>
        </w:rPr>
        <w:t>Petitioners’ attempt to expand the definition of CPNI is inconsistent with other federal privacy rules and</w:t>
      </w:r>
      <w:r w:rsidR="00383BA1">
        <w:rPr>
          <w:rFonts w:eastAsia="Cambria" w:cs="Times New Roman"/>
          <w:szCs w:val="24"/>
        </w:rPr>
        <w:t xml:space="preserve"> with the </w:t>
      </w:r>
      <w:r w:rsidR="000B1D89">
        <w:rPr>
          <w:rFonts w:eastAsia="Cambria" w:cs="Times New Roman"/>
          <w:szCs w:val="24"/>
        </w:rPr>
        <w:t xml:space="preserve">efforts </w:t>
      </w:r>
      <w:r w:rsidR="00383BA1">
        <w:rPr>
          <w:rFonts w:eastAsia="Cambria" w:cs="Times New Roman"/>
          <w:szCs w:val="24"/>
        </w:rPr>
        <w:t xml:space="preserve">of the White House </w:t>
      </w:r>
      <w:r w:rsidR="000B1D89">
        <w:rPr>
          <w:rFonts w:eastAsia="Cambria" w:cs="Times New Roman"/>
          <w:szCs w:val="24"/>
        </w:rPr>
        <w:t>to promote consensus-driven, self-regulatory processes.</w:t>
      </w:r>
    </w:p>
    <w:p w:rsidR="00455C0E" w:rsidRPr="00F93FB6" w:rsidRDefault="009D4D48" w:rsidP="00423192">
      <w:pPr>
        <w:pStyle w:val="BodyText2"/>
        <w:spacing w:line="240" w:lineRule="auto"/>
        <w:ind w:left="720" w:firstLine="0"/>
        <w:rPr>
          <w:rFonts w:eastAsia="Cambria" w:cs="Times New Roman"/>
          <w:szCs w:val="24"/>
        </w:rPr>
      </w:pPr>
      <w:r>
        <w:rPr>
          <w:rFonts w:eastAsia="Cambria" w:cs="Times New Roman"/>
          <w:szCs w:val="24"/>
        </w:rPr>
        <w:t xml:space="preserve">  </w:t>
      </w:r>
    </w:p>
    <w:p w:rsidR="00065562" w:rsidRPr="00002674" w:rsidRDefault="00065562" w:rsidP="00065562">
      <w:pPr>
        <w:pStyle w:val="Heading1"/>
        <w:tabs>
          <w:tab w:val="clear" w:pos="0"/>
        </w:tabs>
        <w:rPr>
          <w:rFonts w:ascii="Times New Roman" w:eastAsia="Cambria" w:hAnsi="Times New Roman" w:cs="Times New Roman"/>
          <w:b w:val="0"/>
          <w:szCs w:val="24"/>
        </w:rPr>
      </w:pPr>
      <w:bookmarkStart w:id="14" w:name="_Toc377735427"/>
      <w:r w:rsidRPr="00002674">
        <w:rPr>
          <w:rFonts w:eastAsia="Cambria"/>
        </w:rPr>
        <w:t>CTIA</w:t>
      </w:r>
      <w:r w:rsidRPr="00F93FB6">
        <w:rPr>
          <w:rFonts w:ascii="Times New Roman" w:eastAsia="Cambria" w:hAnsi="Times New Roman" w:cs="Times New Roman"/>
          <w:szCs w:val="24"/>
        </w:rPr>
        <w:t xml:space="preserve"> and Its Members Prioritize Consumer Privacy and Are Committed to Protecting Customers’ CPNI</w:t>
      </w:r>
      <w:bookmarkEnd w:id="14"/>
      <w:r w:rsidRPr="00F93FB6">
        <w:rPr>
          <w:rFonts w:ascii="Times New Roman" w:eastAsia="Cambria" w:hAnsi="Times New Roman" w:cs="Times New Roman"/>
          <w:szCs w:val="24"/>
        </w:rPr>
        <w:t xml:space="preserve"> </w:t>
      </w:r>
    </w:p>
    <w:p w:rsidR="00620327" w:rsidRDefault="00234092" w:rsidP="00BB7EB6">
      <w:pPr>
        <w:pStyle w:val="BodyText2"/>
      </w:pPr>
      <w:r w:rsidRPr="00234092">
        <w:t xml:space="preserve">CTIA enthusiastically has embraced a leadership role on privacy issues because consumer trust is key for the continued explosive growth of </w:t>
      </w:r>
      <w:r>
        <w:t xml:space="preserve">the </w:t>
      </w:r>
      <w:r w:rsidRPr="00234092">
        <w:t xml:space="preserve">mobile </w:t>
      </w:r>
      <w:r>
        <w:t xml:space="preserve">ecosystem. </w:t>
      </w:r>
      <w:r w:rsidRPr="00234092">
        <w:t xml:space="preserve"> </w:t>
      </w:r>
      <w:r w:rsidR="00872764">
        <w:t xml:space="preserve">In particular, </w:t>
      </w:r>
      <w:r w:rsidR="00E001AB">
        <w:t xml:space="preserve">CTIA is </w:t>
      </w:r>
      <w:r w:rsidR="0072099E">
        <w:t xml:space="preserve">proud of </w:t>
      </w:r>
      <w:r w:rsidR="00E001AB">
        <w:t>the mobile industry’s</w:t>
      </w:r>
      <w:r w:rsidR="0072099E">
        <w:t xml:space="preserve"> record of industry best practices and guidel</w:t>
      </w:r>
      <w:r w:rsidR="004106B5">
        <w:t>ines</w:t>
      </w:r>
      <w:r>
        <w:t xml:space="preserve"> on consumer privacy issues</w:t>
      </w:r>
      <w:r w:rsidR="004106B5">
        <w:t xml:space="preserve">.  </w:t>
      </w:r>
      <w:r w:rsidR="00002674">
        <w:t xml:space="preserve">For example, CTIA has developed, and its members have adopted, a </w:t>
      </w:r>
      <w:r w:rsidR="00872764">
        <w:t>Consumer Code for Wireless Service, which includes practices for the provision of consumer privacy</w:t>
      </w:r>
      <w:r w:rsidR="00002674">
        <w:rPr>
          <w:rStyle w:val="FootnoteReference"/>
        </w:rPr>
        <w:footnoteReference w:id="4"/>
      </w:r>
      <w:r w:rsidR="00872764">
        <w:t xml:space="preserve"> and folds in CTIA’s</w:t>
      </w:r>
      <w:r w:rsidR="00002674">
        <w:t xml:space="preserve"> Best Practice</w:t>
      </w:r>
      <w:r w:rsidR="00872764">
        <w:t>s and Guidelines</w:t>
      </w:r>
      <w:r w:rsidR="00002674">
        <w:t xml:space="preserve"> for Location-Based Services.</w:t>
      </w:r>
      <w:r w:rsidR="00002674">
        <w:rPr>
          <w:rStyle w:val="FootnoteReference"/>
        </w:rPr>
        <w:footnoteReference w:id="5"/>
      </w:r>
      <w:r w:rsidR="00002674">
        <w:t xml:space="preserve">  In addition, CTIA has been a key industry participant in the multistakeholder process laid out by the White House and convened by </w:t>
      </w:r>
      <w:r w:rsidR="009D4D48">
        <w:t>the Department of Commerce’s National Telecommunications and Information Administration (“</w:t>
      </w:r>
      <w:r w:rsidR="00002674">
        <w:t>NTIA</w:t>
      </w:r>
      <w:r w:rsidR="009D4D48">
        <w:t>”)</w:t>
      </w:r>
      <w:r w:rsidR="00620327">
        <w:t>.</w:t>
      </w:r>
      <w:r w:rsidR="00002674">
        <w:rPr>
          <w:rStyle w:val="FootnoteReference"/>
        </w:rPr>
        <w:footnoteReference w:id="6"/>
      </w:r>
      <w:r w:rsidR="00BB7EB6">
        <w:t xml:space="preserve"> </w:t>
      </w:r>
      <w:r w:rsidR="00620327">
        <w:t xml:space="preserve"> </w:t>
      </w:r>
    </w:p>
    <w:p w:rsidR="00A85D27" w:rsidRDefault="00BB7EB6" w:rsidP="00E001AB">
      <w:pPr>
        <w:pStyle w:val="BodyText2"/>
        <w:rPr>
          <w:rFonts w:eastAsia="Cambria" w:cs="Times New Roman"/>
          <w:szCs w:val="24"/>
        </w:rPr>
      </w:pPr>
      <w:r>
        <w:t>CTIA’s members</w:t>
      </w:r>
      <w:r w:rsidR="000C0AF3">
        <w:t xml:space="preserve"> firmly recognize the need to </w:t>
      </w:r>
      <w:r w:rsidRPr="00F93FB6">
        <w:t xml:space="preserve">protect their customers’ privacy </w:t>
      </w:r>
      <w:r w:rsidR="00620327">
        <w:t xml:space="preserve">and to comply with </w:t>
      </w:r>
      <w:r w:rsidR="00A93D77">
        <w:t xml:space="preserve">applicable </w:t>
      </w:r>
      <w:r w:rsidR="00620327">
        <w:t xml:space="preserve">federal and state privacy laws and self-regulatory codes, as well as </w:t>
      </w:r>
      <w:r w:rsidR="00002674">
        <w:t xml:space="preserve">the </w:t>
      </w:r>
      <w:r w:rsidR="000C0AF3">
        <w:lastRenderedPageBreak/>
        <w:t xml:space="preserve">subset of </w:t>
      </w:r>
      <w:r w:rsidR="00234092">
        <w:t>information</w:t>
      </w:r>
      <w:r w:rsidR="00002674">
        <w:t xml:space="preserve"> </w:t>
      </w:r>
      <w:r w:rsidR="000C0AF3">
        <w:t xml:space="preserve">for which Congress gave </w:t>
      </w:r>
      <w:r w:rsidR="00620327">
        <w:t xml:space="preserve">the Commission </w:t>
      </w:r>
      <w:r w:rsidR="000C0AF3">
        <w:t>authority under Section 222</w:t>
      </w:r>
      <w:r w:rsidR="00065562" w:rsidRPr="00F93FB6">
        <w:t>.</w:t>
      </w:r>
      <w:r w:rsidR="003F3375">
        <w:rPr>
          <w:rStyle w:val="FootnoteReference"/>
          <w:rFonts w:eastAsia="Cambria" w:cs="Times New Roman"/>
          <w:szCs w:val="24"/>
        </w:rPr>
        <w:footnoteReference w:id="7"/>
      </w:r>
      <w:r w:rsidR="00A93D77">
        <w:t xml:space="preserve">  CTIA and </w:t>
      </w:r>
      <w:r w:rsidR="003B46D0">
        <w:rPr>
          <w:rFonts w:eastAsia="Cambria" w:cs="Times New Roman"/>
          <w:szCs w:val="24"/>
        </w:rPr>
        <w:t xml:space="preserve">its members share the Commission’s </w:t>
      </w:r>
      <w:r w:rsidR="00A93D77">
        <w:rPr>
          <w:rFonts w:eastAsia="Cambria" w:cs="Times New Roman"/>
          <w:szCs w:val="24"/>
        </w:rPr>
        <w:t xml:space="preserve">interest in </w:t>
      </w:r>
      <w:r w:rsidR="003B46D0">
        <w:rPr>
          <w:rFonts w:eastAsia="Cambria" w:cs="Times New Roman"/>
          <w:szCs w:val="24"/>
        </w:rPr>
        <w:t>protecting personalized customer information</w:t>
      </w:r>
      <w:r w:rsidR="00DF199F">
        <w:rPr>
          <w:rFonts w:eastAsia="Cambria" w:cs="Times New Roman"/>
          <w:szCs w:val="24"/>
        </w:rPr>
        <w:t xml:space="preserve"> consistent with </w:t>
      </w:r>
      <w:r w:rsidR="00A93D77">
        <w:rPr>
          <w:rFonts w:eastAsia="Cambria" w:cs="Times New Roman"/>
          <w:szCs w:val="24"/>
        </w:rPr>
        <w:t>Section 222</w:t>
      </w:r>
      <w:r w:rsidR="003B46D0">
        <w:rPr>
          <w:rFonts w:eastAsia="Cambria" w:cs="Times New Roman"/>
          <w:szCs w:val="24"/>
        </w:rPr>
        <w:t xml:space="preserve">.  </w:t>
      </w:r>
      <w:r w:rsidR="000C0AF3">
        <w:rPr>
          <w:rFonts w:eastAsia="Cambria" w:cs="Times New Roman"/>
          <w:szCs w:val="24"/>
        </w:rPr>
        <w:t xml:space="preserve">  </w:t>
      </w:r>
    </w:p>
    <w:p w:rsidR="00065562" w:rsidRPr="00002674" w:rsidRDefault="00065562" w:rsidP="00002674">
      <w:pPr>
        <w:pStyle w:val="Heading1"/>
        <w:rPr>
          <w:rFonts w:eastAsia="Cambria"/>
        </w:rPr>
      </w:pPr>
      <w:bookmarkStart w:id="15" w:name="_Toc377735428"/>
      <w:r w:rsidRPr="00F93FB6">
        <w:rPr>
          <w:rFonts w:eastAsia="Cambria"/>
        </w:rPr>
        <w:t>The Comm</w:t>
      </w:r>
      <w:r w:rsidRPr="00002674">
        <w:rPr>
          <w:rFonts w:eastAsia="Cambria"/>
        </w:rPr>
        <w:t>i</w:t>
      </w:r>
      <w:r w:rsidRPr="00F93FB6">
        <w:rPr>
          <w:rFonts w:eastAsia="Cambria"/>
        </w:rPr>
        <w:t xml:space="preserve">ssion Should Dismiss the Petition and Rely on Enforcement of Existing CPNI Rules </w:t>
      </w:r>
      <w:r w:rsidR="00585AC8">
        <w:rPr>
          <w:rFonts w:eastAsia="Cambria"/>
        </w:rPr>
        <w:t>if a C</w:t>
      </w:r>
      <w:r w:rsidRPr="00F93FB6">
        <w:rPr>
          <w:rFonts w:eastAsia="Cambria"/>
        </w:rPr>
        <w:t xml:space="preserve">arrier </w:t>
      </w:r>
      <w:r w:rsidR="00585AC8">
        <w:rPr>
          <w:rFonts w:eastAsia="Cambria"/>
        </w:rPr>
        <w:t>Violates S</w:t>
      </w:r>
      <w:r w:rsidR="00A93D77">
        <w:rPr>
          <w:rFonts w:eastAsia="Cambria"/>
        </w:rPr>
        <w:t>ection 222</w:t>
      </w:r>
      <w:bookmarkEnd w:id="15"/>
    </w:p>
    <w:p w:rsidR="00065562" w:rsidRPr="00F93FB6" w:rsidRDefault="00E67009" w:rsidP="00F93FB6">
      <w:pPr>
        <w:pStyle w:val="BodyText2"/>
        <w:rPr>
          <w:rFonts w:eastAsia="Cambria" w:cs="Times New Roman"/>
          <w:szCs w:val="24"/>
        </w:rPr>
      </w:pPr>
      <w:r>
        <w:rPr>
          <w:rFonts w:eastAsia="Cambria" w:cs="Times New Roman"/>
          <w:szCs w:val="24"/>
        </w:rPr>
        <w:t>The Petition does not provide a sufficient basis for Commission action</w:t>
      </w:r>
      <w:r w:rsidR="00083AE0">
        <w:rPr>
          <w:rFonts w:eastAsia="Cambria" w:cs="Times New Roman"/>
          <w:szCs w:val="24"/>
        </w:rPr>
        <w:t xml:space="preserve"> and should be dismissed</w:t>
      </w:r>
      <w:r>
        <w:rPr>
          <w:rFonts w:eastAsia="Cambria" w:cs="Times New Roman"/>
          <w:szCs w:val="24"/>
        </w:rPr>
        <w:t>.  Under its rules, t</w:t>
      </w:r>
      <w:r w:rsidR="00065562" w:rsidRPr="00F93FB6">
        <w:rPr>
          <w:rFonts w:eastAsia="Cambria" w:cs="Times New Roman"/>
          <w:szCs w:val="24"/>
        </w:rPr>
        <w:t xml:space="preserve">he </w:t>
      </w:r>
      <w:r w:rsidR="00065562" w:rsidRPr="00F93FB6">
        <w:t>Commission</w:t>
      </w:r>
      <w:r w:rsidR="00065562" w:rsidRPr="00F93FB6">
        <w:rPr>
          <w:rFonts w:eastAsia="Cambria" w:cs="Times New Roman"/>
          <w:szCs w:val="24"/>
        </w:rPr>
        <w:t xml:space="preserve"> may issue a declaratory ruling where doing so would “terminat[e] a controversy or remov[e] uncertainty.”</w:t>
      </w:r>
      <w:r w:rsidR="00002674">
        <w:rPr>
          <w:rStyle w:val="FootnoteReference"/>
          <w:rFonts w:eastAsia="Cambria" w:cs="Times New Roman"/>
          <w:szCs w:val="24"/>
        </w:rPr>
        <w:footnoteReference w:id="8"/>
      </w:r>
      <w:r>
        <w:rPr>
          <w:rFonts w:eastAsia="Cambria" w:cs="Times New Roman"/>
          <w:szCs w:val="24"/>
        </w:rPr>
        <w:t xml:space="preserve">  However, the agency</w:t>
      </w:r>
      <w:r w:rsidR="00065562" w:rsidRPr="00F93FB6">
        <w:rPr>
          <w:rFonts w:eastAsia="Cambria" w:cs="Times New Roman"/>
          <w:szCs w:val="24"/>
        </w:rPr>
        <w:t xml:space="preserve"> “will do so only when critical </w:t>
      </w:r>
      <w:r w:rsidR="00002674">
        <w:rPr>
          <w:rFonts w:eastAsia="Cambria" w:cs="Times New Roman"/>
          <w:szCs w:val="24"/>
        </w:rPr>
        <w:t>facts are explicitly stated.”</w:t>
      </w:r>
      <w:r w:rsidR="00002674">
        <w:rPr>
          <w:rStyle w:val="FootnoteReference"/>
          <w:rFonts w:eastAsia="Cambria" w:cs="Times New Roman"/>
          <w:szCs w:val="24"/>
        </w:rPr>
        <w:footnoteReference w:id="9"/>
      </w:r>
      <w:r w:rsidR="00002674">
        <w:rPr>
          <w:rFonts w:eastAsia="Cambria" w:cs="Times New Roman"/>
          <w:szCs w:val="24"/>
        </w:rPr>
        <w:t xml:space="preserve">  </w:t>
      </w:r>
      <w:r w:rsidR="00065562" w:rsidRPr="00F93FB6">
        <w:rPr>
          <w:rFonts w:eastAsia="Cambria" w:cs="Times New Roman"/>
          <w:szCs w:val="24"/>
        </w:rPr>
        <w:t>Here, Petitioners</w:t>
      </w:r>
      <w:r>
        <w:rPr>
          <w:rFonts w:eastAsia="Cambria" w:cs="Times New Roman"/>
          <w:szCs w:val="24"/>
        </w:rPr>
        <w:t xml:space="preserve"> offer only</w:t>
      </w:r>
      <w:r w:rsidR="00065562" w:rsidRPr="00F93FB6">
        <w:rPr>
          <w:rFonts w:eastAsia="Cambria" w:cs="Times New Roman"/>
          <w:szCs w:val="24"/>
        </w:rPr>
        <w:t xml:space="preserve"> broad, vague, and speculative allegations involving CPNI</w:t>
      </w:r>
      <w:r>
        <w:rPr>
          <w:rFonts w:eastAsia="Cambria" w:cs="Times New Roman"/>
          <w:szCs w:val="24"/>
        </w:rPr>
        <w:t xml:space="preserve">.  They state, for example, </w:t>
      </w:r>
      <w:r w:rsidR="005A4ECF">
        <w:rPr>
          <w:rFonts w:eastAsia="Cambria" w:cs="Times New Roman"/>
          <w:szCs w:val="24"/>
        </w:rPr>
        <w:t xml:space="preserve">only </w:t>
      </w:r>
      <w:r>
        <w:rPr>
          <w:rFonts w:eastAsia="Cambria" w:cs="Times New Roman"/>
          <w:szCs w:val="24"/>
        </w:rPr>
        <w:t>that “</w:t>
      </w:r>
      <w:r w:rsidR="00065562" w:rsidRPr="00F93FB6">
        <w:rPr>
          <w:rFonts w:eastAsia="Cambria" w:cs="Times New Roman"/>
          <w:szCs w:val="24"/>
        </w:rPr>
        <w:t xml:space="preserve">carriers’ methods of ‘anonymization,’ as reported in the media </w:t>
      </w:r>
      <w:r w:rsidR="00065562" w:rsidRPr="00F93FB6">
        <w:rPr>
          <w:rFonts w:eastAsia="Cambria" w:cs="Times New Roman"/>
          <w:i/>
          <w:szCs w:val="24"/>
        </w:rPr>
        <w:t>may be</w:t>
      </w:r>
      <w:r w:rsidR="00065562" w:rsidRPr="00F93FB6">
        <w:rPr>
          <w:rFonts w:eastAsia="Cambria" w:cs="Times New Roman"/>
          <w:szCs w:val="24"/>
        </w:rPr>
        <w:t xml:space="preserve"> vulne</w:t>
      </w:r>
      <w:r>
        <w:rPr>
          <w:rFonts w:eastAsia="Cambria" w:cs="Times New Roman"/>
          <w:szCs w:val="24"/>
        </w:rPr>
        <w:t>rable to ‘re-identification.”</w:t>
      </w:r>
      <w:r>
        <w:rPr>
          <w:rStyle w:val="FootnoteReference"/>
          <w:rFonts w:eastAsia="Cambria" w:cs="Times New Roman"/>
          <w:szCs w:val="24"/>
        </w:rPr>
        <w:footnoteReference w:id="10"/>
      </w:r>
      <w:r>
        <w:rPr>
          <w:rFonts w:eastAsia="Cambria" w:cs="Times New Roman"/>
          <w:szCs w:val="24"/>
        </w:rPr>
        <w:t xml:space="preserve">  </w:t>
      </w:r>
      <w:r w:rsidR="00234092">
        <w:rPr>
          <w:rFonts w:eastAsia="Cambria" w:cs="Times New Roman"/>
          <w:szCs w:val="24"/>
        </w:rPr>
        <w:t xml:space="preserve">The Petition </w:t>
      </w:r>
      <w:r w:rsidR="005A4ECF">
        <w:rPr>
          <w:rFonts w:eastAsia="Cambria" w:cs="Times New Roman"/>
          <w:szCs w:val="24"/>
        </w:rPr>
        <w:t xml:space="preserve">thus </w:t>
      </w:r>
      <w:r w:rsidR="00234092">
        <w:rPr>
          <w:rFonts w:eastAsia="Cambria" w:cs="Times New Roman"/>
          <w:szCs w:val="24"/>
        </w:rPr>
        <w:t xml:space="preserve">fails to </w:t>
      </w:r>
      <w:r w:rsidR="00065562" w:rsidRPr="00F93FB6">
        <w:rPr>
          <w:rFonts w:eastAsia="Cambria" w:cs="Times New Roman"/>
          <w:szCs w:val="24"/>
        </w:rPr>
        <w:t xml:space="preserve">demonstrate </w:t>
      </w:r>
      <w:r w:rsidR="006764B3">
        <w:rPr>
          <w:rFonts w:eastAsia="Cambria" w:cs="Times New Roman"/>
          <w:szCs w:val="24"/>
        </w:rPr>
        <w:t xml:space="preserve">an </w:t>
      </w:r>
      <w:r w:rsidR="00065562" w:rsidRPr="00F93FB6">
        <w:rPr>
          <w:rFonts w:eastAsia="Cambria" w:cs="Times New Roman"/>
          <w:szCs w:val="24"/>
        </w:rPr>
        <w:t xml:space="preserve">adequate </w:t>
      </w:r>
      <w:r w:rsidR="006764B3">
        <w:rPr>
          <w:rFonts w:eastAsia="Cambria" w:cs="Times New Roman"/>
          <w:szCs w:val="24"/>
        </w:rPr>
        <w:t xml:space="preserve">level of </w:t>
      </w:r>
      <w:r w:rsidR="00065562" w:rsidRPr="00F93FB6">
        <w:rPr>
          <w:rFonts w:eastAsia="Cambria" w:cs="Times New Roman"/>
          <w:szCs w:val="24"/>
        </w:rPr>
        <w:t>specificity or</w:t>
      </w:r>
      <w:r w:rsidR="00A93D77">
        <w:rPr>
          <w:rFonts w:eastAsia="Cambria" w:cs="Times New Roman"/>
          <w:szCs w:val="24"/>
        </w:rPr>
        <w:t xml:space="preserve"> actual</w:t>
      </w:r>
      <w:r w:rsidR="00065562" w:rsidRPr="00F93FB6">
        <w:rPr>
          <w:rFonts w:eastAsia="Cambria" w:cs="Times New Roman"/>
          <w:szCs w:val="24"/>
        </w:rPr>
        <w:t xml:space="preserve"> harm to warrant Commission action.  </w:t>
      </w:r>
    </w:p>
    <w:p w:rsidR="007111AC" w:rsidRDefault="00407A77" w:rsidP="00F93FB6">
      <w:pPr>
        <w:pStyle w:val="BodyText2"/>
        <w:rPr>
          <w:rFonts w:eastAsia="Cambria" w:cs="Times New Roman"/>
          <w:szCs w:val="24"/>
        </w:rPr>
      </w:pPr>
      <w:r>
        <w:rPr>
          <w:rFonts w:eastAsia="Cambria" w:cs="Times New Roman"/>
          <w:szCs w:val="24"/>
        </w:rPr>
        <w:t>In any event, the Petition</w:t>
      </w:r>
      <w:r w:rsidR="00E67009">
        <w:rPr>
          <w:rFonts w:eastAsia="Cambria" w:cs="Times New Roman"/>
          <w:szCs w:val="24"/>
        </w:rPr>
        <w:t xml:space="preserve"> does not present any legal question in need of resolution.  </w:t>
      </w:r>
      <w:r w:rsidR="00065562" w:rsidRPr="00F93FB6">
        <w:rPr>
          <w:rFonts w:eastAsia="Cambria" w:cs="Times New Roman"/>
          <w:szCs w:val="24"/>
        </w:rPr>
        <w:t xml:space="preserve">Historically, the Commission has seen no </w:t>
      </w:r>
      <w:r w:rsidR="00065562" w:rsidRPr="00F93FB6">
        <w:t>reason</w:t>
      </w:r>
      <w:r w:rsidR="00065562" w:rsidRPr="00F93FB6">
        <w:rPr>
          <w:rFonts w:eastAsia="Cambria" w:cs="Times New Roman"/>
          <w:szCs w:val="24"/>
        </w:rPr>
        <w:t xml:space="preserve"> to clarify or modify its CPNI rules when the plain meaning of Section 222 is clear, the requirements are well-defined, and any violations can be subject to enforcement.</w:t>
      </w:r>
      <w:r w:rsidR="00002674">
        <w:rPr>
          <w:rFonts w:eastAsia="Cambria" w:cs="Times New Roman"/>
          <w:szCs w:val="24"/>
        </w:rPr>
        <w:t xml:space="preserve"> </w:t>
      </w:r>
      <w:r w:rsidR="000E0DF3">
        <w:rPr>
          <w:rFonts w:eastAsia="Cambria" w:cs="Times New Roman"/>
          <w:szCs w:val="24"/>
        </w:rPr>
        <w:t xml:space="preserve"> </w:t>
      </w:r>
      <w:r w:rsidR="00002674">
        <w:rPr>
          <w:rFonts w:eastAsia="Cambria" w:cs="Times New Roman"/>
          <w:szCs w:val="24"/>
        </w:rPr>
        <w:t xml:space="preserve">For example, in 2002, the Commission declined </w:t>
      </w:r>
      <w:r w:rsidR="0078145C">
        <w:rPr>
          <w:rFonts w:eastAsia="Cambria" w:cs="Times New Roman"/>
          <w:szCs w:val="24"/>
        </w:rPr>
        <w:t>to launch a</w:t>
      </w:r>
      <w:r w:rsidR="00002674">
        <w:rPr>
          <w:rFonts w:eastAsia="Cambria" w:cs="Times New Roman"/>
          <w:szCs w:val="24"/>
        </w:rPr>
        <w:t xml:space="preserve"> </w:t>
      </w:r>
      <w:r w:rsidR="00002674">
        <w:rPr>
          <w:rFonts w:eastAsia="Cambria" w:cs="Times New Roman"/>
          <w:szCs w:val="24"/>
        </w:rPr>
        <w:lastRenderedPageBreak/>
        <w:t xml:space="preserve">rulemaking </w:t>
      </w:r>
      <w:r w:rsidR="0078145C">
        <w:rPr>
          <w:rFonts w:eastAsia="Cambria" w:cs="Times New Roman"/>
          <w:szCs w:val="24"/>
        </w:rPr>
        <w:t>requested</w:t>
      </w:r>
      <w:r w:rsidR="00002674">
        <w:rPr>
          <w:rFonts w:eastAsia="Cambria" w:cs="Times New Roman"/>
          <w:szCs w:val="24"/>
        </w:rPr>
        <w:t xml:space="preserve"> by CTIA</w:t>
      </w:r>
      <w:r w:rsidR="0078145C">
        <w:rPr>
          <w:rFonts w:eastAsia="Cambria" w:cs="Times New Roman"/>
          <w:szCs w:val="24"/>
        </w:rPr>
        <w:t xml:space="preserve"> when the industry itself sought </w:t>
      </w:r>
      <w:r w:rsidR="00002674">
        <w:rPr>
          <w:rFonts w:eastAsia="Cambria" w:cs="Times New Roman"/>
          <w:szCs w:val="24"/>
        </w:rPr>
        <w:t>specificity in rules governing location-based services.</w:t>
      </w:r>
      <w:r w:rsidR="00002674">
        <w:rPr>
          <w:rStyle w:val="FootnoteReference"/>
          <w:rFonts w:eastAsia="Cambria" w:cs="Times New Roman"/>
          <w:szCs w:val="24"/>
        </w:rPr>
        <w:footnoteReference w:id="11"/>
      </w:r>
      <w:r w:rsidR="00E67009">
        <w:rPr>
          <w:rFonts w:eastAsia="Cambria" w:cs="Times New Roman"/>
          <w:szCs w:val="24"/>
        </w:rPr>
        <w:t xml:space="preserve">  </w:t>
      </w:r>
      <w:r w:rsidR="0078145C">
        <w:rPr>
          <w:rFonts w:eastAsia="Cambria" w:cs="Times New Roman"/>
          <w:szCs w:val="24"/>
        </w:rPr>
        <w:t>The</w:t>
      </w:r>
      <w:r w:rsidR="00002674">
        <w:rPr>
          <w:rFonts w:eastAsia="Cambria" w:cs="Times New Roman"/>
          <w:szCs w:val="24"/>
        </w:rPr>
        <w:t xml:space="preserve"> Commission said</w:t>
      </w:r>
      <w:r w:rsidR="00E157EF">
        <w:rPr>
          <w:rFonts w:eastAsia="Cambria" w:cs="Times New Roman"/>
          <w:szCs w:val="24"/>
        </w:rPr>
        <w:t xml:space="preserve"> there</w:t>
      </w:r>
      <w:r w:rsidR="007111AC">
        <w:rPr>
          <w:rFonts w:eastAsia="Cambria" w:cs="Times New Roman"/>
          <w:szCs w:val="24"/>
        </w:rPr>
        <w:t>:</w:t>
      </w:r>
      <w:r w:rsidR="00002674">
        <w:rPr>
          <w:rFonts w:eastAsia="Cambria" w:cs="Times New Roman"/>
          <w:szCs w:val="24"/>
        </w:rPr>
        <w:t xml:space="preserve"> </w:t>
      </w:r>
    </w:p>
    <w:p w:rsidR="007111AC" w:rsidRDefault="007111AC" w:rsidP="00176398">
      <w:pPr>
        <w:pStyle w:val="BodyText2"/>
        <w:spacing w:line="240" w:lineRule="auto"/>
        <w:ind w:left="1080" w:right="1080" w:firstLine="0"/>
        <w:jc w:val="both"/>
        <w:rPr>
          <w:rFonts w:eastAsia="Cambria" w:cs="Times New Roman"/>
          <w:szCs w:val="24"/>
        </w:rPr>
      </w:pPr>
      <w:r>
        <w:rPr>
          <w:rFonts w:eastAsia="Cambria" w:cs="Times New Roman"/>
          <w:szCs w:val="24"/>
        </w:rPr>
        <w:t>B</w:t>
      </w:r>
      <w:r w:rsidR="00065562" w:rsidRPr="00F93FB6">
        <w:rPr>
          <w:rFonts w:eastAsia="Cambria" w:cs="Times New Roman"/>
          <w:szCs w:val="24"/>
        </w:rPr>
        <w:t xml:space="preserve">ecause the statute imposes clear legal obligations and protections for consumers and because we do not wish to artificially constrain the still-developing market for location-based services, we determine that the better course is to vigorously enforce the law as written, without further clarification of the statutory provisions by rule.  We will continue to monitor these important issues and initiate a rulemaking proceeding only when the need to do so </w:t>
      </w:r>
      <w:r w:rsidR="00002674">
        <w:rPr>
          <w:rFonts w:eastAsia="Cambria" w:cs="Times New Roman"/>
          <w:szCs w:val="24"/>
        </w:rPr>
        <w:t>has been clearly demonstrated.</w:t>
      </w:r>
      <w:r w:rsidR="00002674">
        <w:rPr>
          <w:rStyle w:val="FootnoteReference"/>
          <w:rFonts w:eastAsia="Cambria" w:cs="Times New Roman"/>
          <w:szCs w:val="24"/>
        </w:rPr>
        <w:footnoteReference w:id="12"/>
      </w:r>
      <w:r w:rsidR="00065562" w:rsidRPr="00F93FB6">
        <w:rPr>
          <w:rFonts w:eastAsia="Cambria" w:cs="Times New Roman"/>
          <w:szCs w:val="24"/>
        </w:rPr>
        <w:t xml:space="preserve">  </w:t>
      </w:r>
    </w:p>
    <w:p w:rsidR="007111AC" w:rsidRDefault="007111AC" w:rsidP="00176398">
      <w:pPr>
        <w:pStyle w:val="BodyText2"/>
        <w:spacing w:line="240" w:lineRule="auto"/>
        <w:ind w:left="1080" w:right="1080" w:firstLine="0"/>
        <w:jc w:val="both"/>
        <w:rPr>
          <w:rFonts w:eastAsia="Cambria" w:cs="Times New Roman"/>
          <w:szCs w:val="24"/>
        </w:rPr>
      </w:pPr>
    </w:p>
    <w:p w:rsidR="00065562" w:rsidRPr="00684C06" w:rsidRDefault="00E67009" w:rsidP="00585AC8">
      <w:pPr>
        <w:pStyle w:val="BodyText2"/>
        <w:ind w:firstLine="0"/>
        <w:rPr>
          <w:rFonts w:eastAsia="Cambria" w:cs="Times New Roman"/>
          <w:szCs w:val="24"/>
        </w:rPr>
      </w:pPr>
      <w:r>
        <w:rPr>
          <w:rFonts w:eastAsia="Cambria" w:cs="Times New Roman"/>
          <w:szCs w:val="24"/>
        </w:rPr>
        <w:t>Similarly, in this case</w:t>
      </w:r>
      <w:r w:rsidR="00065562" w:rsidRPr="00F93FB6">
        <w:rPr>
          <w:rFonts w:eastAsia="Cambria" w:cs="Times New Roman"/>
          <w:szCs w:val="24"/>
        </w:rPr>
        <w:t xml:space="preserve">, the plain language of Section 222 identifies the scope of information subject to protection, </w:t>
      </w:r>
      <w:r w:rsidR="00A85D27">
        <w:rPr>
          <w:rFonts w:eastAsia="Cambria" w:cs="Times New Roman"/>
          <w:szCs w:val="24"/>
        </w:rPr>
        <w:t xml:space="preserve">the requirements </w:t>
      </w:r>
      <w:r w:rsidR="00CF13AF">
        <w:rPr>
          <w:rFonts w:eastAsia="Cambria" w:cs="Times New Roman"/>
          <w:szCs w:val="24"/>
        </w:rPr>
        <w:t>(such as those in</w:t>
      </w:r>
      <w:r w:rsidR="00407A77">
        <w:rPr>
          <w:rFonts w:eastAsia="Cambria" w:cs="Times New Roman"/>
          <w:szCs w:val="24"/>
        </w:rPr>
        <w:t xml:space="preserve"> </w:t>
      </w:r>
      <w:r w:rsidR="00A85D27">
        <w:rPr>
          <w:rFonts w:eastAsia="Cambria" w:cs="Times New Roman"/>
          <w:szCs w:val="24"/>
        </w:rPr>
        <w:t>Section 222(c)(1)</w:t>
      </w:r>
      <w:r w:rsidR="00CF13AF">
        <w:rPr>
          <w:rFonts w:eastAsia="Cambria" w:cs="Times New Roman"/>
          <w:szCs w:val="24"/>
        </w:rPr>
        <w:t>)</w:t>
      </w:r>
      <w:r w:rsidR="00A85D27">
        <w:rPr>
          <w:rFonts w:eastAsia="Cambria" w:cs="Times New Roman"/>
          <w:szCs w:val="24"/>
        </w:rPr>
        <w:t xml:space="preserve"> are clear, </w:t>
      </w:r>
      <w:r w:rsidR="00065562" w:rsidRPr="00F93FB6">
        <w:rPr>
          <w:rFonts w:eastAsia="Cambria" w:cs="Times New Roman"/>
          <w:szCs w:val="24"/>
        </w:rPr>
        <w:t xml:space="preserve">and Petitioners fail to provide any </w:t>
      </w:r>
      <w:r w:rsidR="00A93D77">
        <w:rPr>
          <w:rFonts w:eastAsia="Cambria" w:cs="Times New Roman"/>
          <w:szCs w:val="24"/>
        </w:rPr>
        <w:t xml:space="preserve">factual or </w:t>
      </w:r>
      <w:r w:rsidR="00065562" w:rsidRPr="00F93FB6">
        <w:rPr>
          <w:rFonts w:eastAsia="Cambria" w:cs="Times New Roman"/>
          <w:szCs w:val="24"/>
        </w:rPr>
        <w:t>legal claim sufficient to warrant a Commission proceeding.</w:t>
      </w:r>
      <w:r w:rsidR="003F3375" w:rsidRPr="003F3375">
        <w:rPr>
          <w:rFonts w:eastAsia="Cambria" w:cs="Times New Roman"/>
          <w:szCs w:val="24"/>
        </w:rPr>
        <w:t xml:space="preserve"> </w:t>
      </w:r>
      <w:r w:rsidR="00585AC8">
        <w:rPr>
          <w:rFonts w:eastAsia="Cambria" w:cs="Times New Roman"/>
          <w:szCs w:val="24"/>
        </w:rPr>
        <w:t xml:space="preserve"> </w:t>
      </w:r>
      <w:r w:rsidR="003F3375">
        <w:rPr>
          <w:rFonts w:eastAsia="Cambria" w:cs="Times New Roman"/>
          <w:szCs w:val="24"/>
        </w:rPr>
        <w:t>In the event a carrier violates Section 222, t</w:t>
      </w:r>
      <w:r w:rsidR="00065562" w:rsidRPr="00F93FB6">
        <w:rPr>
          <w:rFonts w:eastAsia="Cambria" w:cs="Times New Roman"/>
          <w:szCs w:val="24"/>
        </w:rPr>
        <w:t xml:space="preserve">he FCC </w:t>
      </w:r>
      <w:r w:rsidR="00A93D77">
        <w:rPr>
          <w:rFonts w:eastAsia="Cambria" w:cs="Times New Roman"/>
          <w:szCs w:val="24"/>
        </w:rPr>
        <w:t xml:space="preserve">may rely on enforcement of </w:t>
      </w:r>
      <w:r w:rsidR="00065562" w:rsidRPr="00F93FB6">
        <w:rPr>
          <w:rFonts w:eastAsia="Cambria" w:cs="Times New Roman"/>
          <w:szCs w:val="24"/>
        </w:rPr>
        <w:t>existing CPNI rules</w:t>
      </w:r>
      <w:r w:rsidR="00A93D77">
        <w:rPr>
          <w:rFonts w:eastAsia="Cambria" w:cs="Times New Roman"/>
          <w:szCs w:val="24"/>
        </w:rPr>
        <w:t>.</w:t>
      </w:r>
      <w:r w:rsidR="00065562" w:rsidRPr="00F93FB6">
        <w:rPr>
          <w:rFonts w:eastAsia="Cambria" w:cs="Times New Roman"/>
          <w:szCs w:val="24"/>
        </w:rPr>
        <w:t xml:space="preserve"> </w:t>
      </w:r>
    </w:p>
    <w:p w:rsidR="003E197C" w:rsidRDefault="003E197C" w:rsidP="003E197C">
      <w:pPr>
        <w:pStyle w:val="Heading1"/>
        <w:rPr>
          <w:rFonts w:eastAsia="Cambria"/>
        </w:rPr>
      </w:pPr>
      <w:bookmarkStart w:id="16" w:name="_Toc377735429"/>
      <w:r w:rsidRPr="00F93FB6">
        <w:rPr>
          <w:rFonts w:eastAsia="Cambria"/>
        </w:rPr>
        <w:t>Petitioners Misconstr</w:t>
      </w:r>
      <w:r>
        <w:rPr>
          <w:rFonts w:eastAsia="Cambria"/>
        </w:rPr>
        <w:t xml:space="preserve">ue Section 222 by Claiming that </w:t>
      </w:r>
      <w:r w:rsidRPr="00F93FB6">
        <w:rPr>
          <w:rFonts w:eastAsia="Cambria"/>
        </w:rPr>
        <w:t xml:space="preserve">CPNI </w:t>
      </w:r>
      <w:r>
        <w:rPr>
          <w:rFonts w:eastAsia="Cambria"/>
        </w:rPr>
        <w:t>is</w:t>
      </w:r>
      <w:r w:rsidRPr="00F93FB6">
        <w:rPr>
          <w:rFonts w:eastAsia="Cambria"/>
        </w:rPr>
        <w:t xml:space="preserve"> Either “Individually Identifiable CPNI” Under Section 222(c)(1) or “Aggregate Customer Information” Under Section 222(c)(3)</w:t>
      </w:r>
      <w:bookmarkEnd w:id="16"/>
    </w:p>
    <w:p w:rsidR="005A4ECF" w:rsidRDefault="005A4ECF" w:rsidP="005A4ECF">
      <w:pPr>
        <w:pStyle w:val="BodyText2"/>
        <w:rPr>
          <w:rFonts w:eastAsia="Cambria" w:cs="Times New Roman"/>
          <w:szCs w:val="24"/>
        </w:rPr>
      </w:pPr>
      <w:r w:rsidRPr="00F93FB6">
        <w:rPr>
          <w:rFonts w:eastAsia="Cambria" w:cs="Times New Roman"/>
          <w:szCs w:val="24"/>
        </w:rPr>
        <w:t>Petitioners</w:t>
      </w:r>
      <w:r>
        <w:rPr>
          <w:rFonts w:eastAsia="Cambria" w:cs="Times New Roman"/>
          <w:szCs w:val="24"/>
        </w:rPr>
        <w:t xml:space="preserve"> incorrectly assert that</w:t>
      </w:r>
      <w:r w:rsidRPr="00F93FB6">
        <w:rPr>
          <w:rFonts w:eastAsia="Cambria" w:cs="Times New Roman"/>
          <w:szCs w:val="24"/>
        </w:rPr>
        <w:t xml:space="preserve"> Section 222 </w:t>
      </w:r>
      <w:r>
        <w:t>establishes</w:t>
      </w:r>
      <w:r w:rsidRPr="00F93FB6">
        <w:rPr>
          <w:rFonts w:eastAsia="Cambria" w:cs="Times New Roman"/>
          <w:szCs w:val="24"/>
        </w:rPr>
        <w:t xml:space="preserve"> that “all CPNI is either aggrega</w:t>
      </w:r>
      <w:r w:rsidR="00867768">
        <w:rPr>
          <w:rFonts w:eastAsia="Cambria" w:cs="Times New Roman"/>
          <w:szCs w:val="24"/>
        </w:rPr>
        <w:t>te or individually identifiable</w:t>
      </w:r>
      <w:r w:rsidRPr="00F93FB6">
        <w:rPr>
          <w:rFonts w:eastAsia="Cambria" w:cs="Times New Roman"/>
          <w:szCs w:val="24"/>
        </w:rPr>
        <w:t>”</w:t>
      </w:r>
      <w:r w:rsidR="00867768">
        <w:rPr>
          <w:rFonts w:eastAsia="Cambria" w:cs="Times New Roman"/>
          <w:szCs w:val="24"/>
        </w:rPr>
        <w:t xml:space="preserve"> and thus must fall into one of these two buckets.</w:t>
      </w:r>
      <w:r>
        <w:rPr>
          <w:rStyle w:val="FootnoteReference"/>
          <w:rFonts w:eastAsia="Cambria" w:cs="Times New Roman"/>
          <w:szCs w:val="24"/>
        </w:rPr>
        <w:footnoteReference w:id="13"/>
      </w:r>
      <w:r>
        <w:rPr>
          <w:rFonts w:eastAsia="Cambria" w:cs="Times New Roman"/>
          <w:szCs w:val="24"/>
        </w:rPr>
        <w:t xml:space="preserve">  To the contrary, </w:t>
      </w:r>
      <w:r w:rsidR="003F3375">
        <w:rPr>
          <w:rFonts w:eastAsia="Cambria" w:cs="Times New Roman"/>
          <w:szCs w:val="24"/>
        </w:rPr>
        <w:t xml:space="preserve">a category of </w:t>
      </w:r>
      <w:r>
        <w:rPr>
          <w:rFonts w:eastAsia="Cambria" w:cs="Times New Roman"/>
          <w:szCs w:val="24"/>
        </w:rPr>
        <w:t xml:space="preserve">customer information </w:t>
      </w:r>
      <w:r w:rsidR="003F3375">
        <w:rPr>
          <w:rFonts w:eastAsia="Cambria" w:cs="Times New Roman"/>
          <w:szCs w:val="24"/>
        </w:rPr>
        <w:t xml:space="preserve">exists </w:t>
      </w:r>
      <w:r>
        <w:rPr>
          <w:rFonts w:eastAsia="Cambria" w:cs="Times New Roman"/>
          <w:szCs w:val="24"/>
        </w:rPr>
        <w:t xml:space="preserve">that is neither “individually identifiable” CPNI nor “aggregate customer information,” and such information is not the type of personal, sensitive information that must be protected under Section 222(c)(1).  </w:t>
      </w:r>
    </w:p>
    <w:p w:rsidR="00CC48F9" w:rsidRPr="00B1439C" w:rsidRDefault="00CC48F9" w:rsidP="00CC48F9">
      <w:pPr>
        <w:pStyle w:val="Style1"/>
        <w:rPr>
          <w:rFonts w:cs="Times New Roman"/>
          <w:szCs w:val="24"/>
        </w:rPr>
      </w:pPr>
      <w:bookmarkStart w:id="17" w:name="_Toc377735430"/>
      <w:r>
        <w:lastRenderedPageBreak/>
        <w:t>Section 222 Creates</w:t>
      </w:r>
      <w:r w:rsidRPr="00B1439C">
        <w:t xml:space="preserve"> Distinctions Among Types of Customer Information </w:t>
      </w:r>
      <w:r>
        <w:t>that Involve</w:t>
      </w:r>
      <w:r w:rsidRPr="00B1439C">
        <w:t xml:space="preserve"> Differ</w:t>
      </w:r>
      <w:r>
        <w:t>ing</w:t>
      </w:r>
      <w:r w:rsidRPr="00B1439C">
        <w:t xml:space="preserve"> Levels of Sensitivity</w:t>
      </w:r>
      <w:bookmarkEnd w:id="17"/>
    </w:p>
    <w:p w:rsidR="00CC48F9" w:rsidRPr="006C387B" w:rsidRDefault="00CC48F9" w:rsidP="00CC48F9">
      <w:pPr>
        <w:pStyle w:val="BodyText2"/>
        <w:rPr>
          <w:rFonts w:eastAsia="Cambria" w:cs="Times New Roman"/>
          <w:szCs w:val="24"/>
        </w:rPr>
      </w:pPr>
      <w:r>
        <w:rPr>
          <w:rFonts w:eastAsia="Cambria" w:cs="Times New Roman"/>
          <w:szCs w:val="24"/>
        </w:rPr>
        <w:t xml:space="preserve">As an initial matter, the Petition fails to acknowledge that Congress intended to protect </w:t>
      </w:r>
      <w:r w:rsidRPr="00876216">
        <w:rPr>
          <w:rFonts w:eastAsia="Cambria" w:cs="Times New Roman"/>
          <w:i/>
          <w:szCs w:val="24"/>
        </w:rPr>
        <w:t>only</w:t>
      </w:r>
      <w:r>
        <w:rPr>
          <w:rFonts w:eastAsia="Cambria" w:cs="Times New Roman"/>
          <w:szCs w:val="24"/>
        </w:rPr>
        <w:t xml:space="preserve"> the most sensitive customer usage information and distinguished accordingly among various types of customer information.  As the Commission has recognized, Congress “calibrate[d] </w:t>
      </w:r>
      <w:r w:rsidRPr="00F93FB6">
        <w:rPr>
          <w:rFonts w:eastAsia="Cambria" w:cs="Times New Roman"/>
          <w:szCs w:val="24"/>
        </w:rPr>
        <w:t>the protection of [customer] information from disclosure based on the sensitivity of the information.  Thus, Section 222 places fewer restrictions on the dissemination of information that is not highly sensitive … than on the dissemination of more sensitive information the carrier has gathered about particular customers.”</w:t>
      </w:r>
      <w:r>
        <w:rPr>
          <w:rStyle w:val="FootnoteReference"/>
          <w:rFonts w:eastAsia="Cambria" w:cs="Times New Roman"/>
          <w:szCs w:val="24"/>
        </w:rPr>
        <w:footnoteReference w:id="14"/>
      </w:r>
      <w:r>
        <w:rPr>
          <w:rFonts w:eastAsia="Cambria" w:cs="Times New Roman"/>
          <w:szCs w:val="24"/>
        </w:rPr>
        <w:t xml:space="preserve">  </w:t>
      </w:r>
      <w:r>
        <w:t>Most relevant to this discussion are three distinct types of customer information, although there may be other types as well.  These three types are: (i) “individually identifiable” CPNI; (ii) “de-identified” or “anonymized” customer information; and (iii) “aggregate customer information.”  We focus more narrowly here on “call records,” the subject of the Petition, which represent a subset of CPNI.</w:t>
      </w:r>
    </w:p>
    <w:p w:rsidR="00CC48F9" w:rsidRPr="006C387B" w:rsidRDefault="00CC48F9" w:rsidP="00CC48F9">
      <w:pPr>
        <w:pStyle w:val="BodyText2"/>
        <w:rPr>
          <w:rFonts w:eastAsia="Cambria" w:cs="Times New Roman"/>
          <w:szCs w:val="24"/>
        </w:rPr>
      </w:pPr>
      <w:r>
        <w:t>To illustrate with examples:</w:t>
      </w:r>
    </w:p>
    <w:tbl>
      <w:tblPr>
        <w:tblStyle w:val="TableGrid"/>
        <w:tblW w:w="0" w:type="auto"/>
        <w:tblInd w:w="108" w:type="dxa"/>
        <w:tblLook w:val="04A0"/>
      </w:tblPr>
      <w:tblGrid>
        <w:gridCol w:w="4320"/>
        <w:gridCol w:w="4428"/>
      </w:tblGrid>
      <w:tr w:rsidR="00CC48F9" w:rsidTr="00C04CFD">
        <w:tc>
          <w:tcPr>
            <w:tcW w:w="4320" w:type="dxa"/>
            <w:shd w:val="clear" w:color="auto" w:fill="BFBFBF" w:themeFill="background1" w:themeFillShade="BF"/>
          </w:tcPr>
          <w:p w:rsidR="00CC48F9" w:rsidRPr="00F72E7E" w:rsidRDefault="00CC48F9" w:rsidP="000A7CE1">
            <w:pPr>
              <w:spacing w:before="120" w:after="120"/>
              <w:jc w:val="center"/>
              <w:rPr>
                <w:b/>
              </w:rPr>
            </w:pPr>
            <w:r w:rsidRPr="0068480C">
              <w:rPr>
                <w:b/>
              </w:rPr>
              <w:t>Type</w:t>
            </w:r>
            <w:r>
              <w:rPr>
                <w:b/>
              </w:rPr>
              <w:t xml:space="preserve"> of Customer Information</w:t>
            </w:r>
          </w:p>
        </w:tc>
        <w:tc>
          <w:tcPr>
            <w:tcW w:w="4428" w:type="dxa"/>
            <w:shd w:val="clear" w:color="auto" w:fill="BFBFBF" w:themeFill="background1" w:themeFillShade="BF"/>
          </w:tcPr>
          <w:p w:rsidR="00CC48F9" w:rsidRPr="00F72E7E" w:rsidRDefault="00CC48F9" w:rsidP="000A7CE1">
            <w:pPr>
              <w:spacing w:before="120" w:after="120"/>
              <w:jc w:val="center"/>
              <w:rPr>
                <w:b/>
              </w:rPr>
            </w:pPr>
            <w:r w:rsidRPr="00601133">
              <w:rPr>
                <w:b/>
              </w:rPr>
              <w:t>Example</w:t>
            </w:r>
          </w:p>
        </w:tc>
      </w:tr>
      <w:tr w:rsidR="00CC48F9" w:rsidTr="00585AC8">
        <w:trPr>
          <w:trHeight w:val="1421"/>
        </w:trPr>
        <w:tc>
          <w:tcPr>
            <w:tcW w:w="4320" w:type="dxa"/>
          </w:tcPr>
          <w:p w:rsidR="00CC48F9" w:rsidRDefault="00CC48F9" w:rsidP="000A7CE1">
            <w:pPr>
              <w:rPr>
                <w:i/>
              </w:rPr>
            </w:pPr>
            <w:r>
              <w:rPr>
                <w:i/>
              </w:rPr>
              <w:t>“Individually identifiable” CPNI</w:t>
            </w:r>
          </w:p>
          <w:p w:rsidR="00CC48F9" w:rsidRDefault="00CC48F9" w:rsidP="000A7CE1">
            <w:pPr>
              <w:rPr>
                <w:i/>
              </w:rPr>
            </w:pPr>
          </w:p>
          <w:p w:rsidR="00CC48F9" w:rsidRDefault="00CC48F9" w:rsidP="000A7CE1">
            <w:pPr>
              <w:rPr>
                <w:i/>
              </w:rPr>
            </w:pPr>
          </w:p>
          <w:p w:rsidR="00CC48F9" w:rsidRPr="00F72E7E" w:rsidRDefault="00CC48F9" w:rsidP="000A7CE1">
            <w:pPr>
              <w:rPr>
                <w:i/>
              </w:rPr>
            </w:pPr>
            <w:r>
              <w:rPr>
                <w:i/>
              </w:rPr>
              <w:t>“Individually identifiable” call record</w:t>
            </w:r>
          </w:p>
        </w:tc>
        <w:tc>
          <w:tcPr>
            <w:tcW w:w="4428" w:type="dxa"/>
          </w:tcPr>
          <w:p w:rsidR="00CC48F9" w:rsidRPr="006C387B" w:rsidRDefault="00CC48F9" w:rsidP="000A7CE1">
            <w:r w:rsidRPr="006C387B">
              <w:t>Mary Jones saved $10/month by switching to the “Super Value” rate plan</w:t>
            </w:r>
          </w:p>
          <w:p w:rsidR="00CC48F9" w:rsidRPr="006C387B" w:rsidRDefault="00CC48F9" w:rsidP="000A7CE1"/>
          <w:p w:rsidR="00CC48F9" w:rsidRPr="00C04CFD" w:rsidRDefault="00CC48F9" w:rsidP="000A7CE1">
            <w:r w:rsidRPr="006C387B">
              <w:t xml:space="preserve">Mary Jones called </w:t>
            </w:r>
            <w:r>
              <w:t>Lubbock, Tex.</w:t>
            </w:r>
            <w:r w:rsidRPr="006C387B">
              <w:t>, on January 17, at 2:42</w:t>
            </w:r>
            <w:r>
              <w:t xml:space="preserve"> </w:t>
            </w:r>
            <w:r w:rsidRPr="006C387B">
              <w:t>p</w:t>
            </w:r>
            <w:r>
              <w:t>.</w:t>
            </w:r>
            <w:r w:rsidRPr="006C387B">
              <w:t>m</w:t>
            </w:r>
            <w:r>
              <w:t>.</w:t>
            </w:r>
          </w:p>
        </w:tc>
      </w:tr>
      <w:tr w:rsidR="00CC48F9" w:rsidTr="00585AC8">
        <w:trPr>
          <w:trHeight w:val="1979"/>
        </w:trPr>
        <w:tc>
          <w:tcPr>
            <w:tcW w:w="4320" w:type="dxa"/>
          </w:tcPr>
          <w:p w:rsidR="00CC48F9" w:rsidRDefault="00CC48F9" w:rsidP="000A7CE1">
            <w:pPr>
              <w:rPr>
                <w:i/>
              </w:rPr>
            </w:pPr>
            <w:r>
              <w:rPr>
                <w:i/>
              </w:rPr>
              <w:t>“De-identified”/”anonymized”</w:t>
            </w:r>
          </w:p>
          <w:p w:rsidR="00CC48F9" w:rsidRDefault="00CC48F9" w:rsidP="000A7CE1">
            <w:pPr>
              <w:rPr>
                <w:i/>
              </w:rPr>
            </w:pPr>
          </w:p>
          <w:p w:rsidR="00CC48F9" w:rsidRDefault="00CC48F9" w:rsidP="000A7CE1">
            <w:pPr>
              <w:rPr>
                <w:i/>
              </w:rPr>
            </w:pPr>
          </w:p>
          <w:p w:rsidR="00CC48F9" w:rsidRDefault="00CC48F9" w:rsidP="000A7CE1">
            <w:pPr>
              <w:rPr>
                <w:i/>
              </w:rPr>
            </w:pPr>
          </w:p>
          <w:p w:rsidR="00CC48F9" w:rsidRDefault="00CC48F9" w:rsidP="000A7CE1">
            <w:pPr>
              <w:rPr>
                <w:i/>
              </w:rPr>
            </w:pPr>
          </w:p>
          <w:p w:rsidR="00CC48F9" w:rsidRPr="00F72E7E" w:rsidRDefault="00CC48F9" w:rsidP="000A7CE1">
            <w:pPr>
              <w:tabs>
                <w:tab w:val="center" w:pos="4320"/>
                <w:tab w:val="right" w:pos="8640"/>
              </w:tabs>
              <w:rPr>
                <w:i/>
              </w:rPr>
            </w:pPr>
            <w:r>
              <w:rPr>
                <w:i/>
              </w:rPr>
              <w:t>“De-identified” call record</w:t>
            </w:r>
          </w:p>
        </w:tc>
        <w:tc>
          <w:tcPr>
            <w:tcW w:w="4428" w:type="dxa"/>
          </w:tcPr>
          <w:p w:rsidR="00CC48F9" w:rsidRPr="006C387B" w:rsidRDefault="00CC48F9" w:rsidP="000A7CE1">
            <w:r w:rsidRPr="006C387B">
              <w:t>Customer XYZ saved $10/month by switching to the “Super Value” rate plan</w:t>
            </w:r>
          </w:p>
          <w:p w:rsidR="00CC48F9" w:rsidRPr="006C387B" w:rsidRDefault="00CC48F9" w:rsidP="000A7CE1">
            <w:r w:rsidRPr="006C387B">
              <w:t>Customer ABC saved only $5/month by switching to the “Super Value” rate plan</w:t>
            </w:r>
          </w:p>
          <w:p w:rsidR="00CC48F9" w:rsidRPr="006C387B" w:rsidRDefault="00CC48F9" w:rsidP="000A7CE1"/>
          <w:p w:rsidR="00CC48F9" w:rsidRPr="00C04CFD" w:rsidRDefault="00CC48F9" w:rsidP="000A7CE1">
            <w:pPr>
              <w:tabs>
                <w:tab w:val="center" w:pos="4320"/>
                <w:tab w:val="right" w:pos="8640"/>
              </w:tabs>
            </w:pPr>
            <w:r w:rsidRPr="006C387B">
              <w:t xml:space="preserve">Customer XYZ called </w:t>
            </w:r>
            <w:r>
              <w:t>Lubbock, Tex.</w:t>
            </w:r>
            <w:r w:rsidRPr="006C387B">
              <w:t>, on January 17, at 2:42</w:t>
            </w:r>
            <w:r>
              <w:t xml:space="preserve"> </w:t>
            </w:r>
            <w:r w:rsidRPr="006C387B">
              <w:t>p</w:t>
            </w:r>
            <w:r>
              <w:t>.</w:t>
            </w:r>
            <w:r w:rsidRPr="006C387B">
              <w:t>m</w:t>
            </w:r>
            <w:r>
              <w:t>.</w:t>
            </w:r>
          </w:p>
        </w:tc>
      </w:tr>
      <w:tr w:rsidR="00CC48F9" w:rsidTr="00585AC8">
        <w:trPr>
          <w:trHeight w:val="1691"/>
        </w:trPr>
        <w:tc>
          <w:tcPr>
            <w:tcW w:w="4320" w:type="dxa"/>
          </w:tcPr>
          <w:p w:rsidR="00CC48F9" w:rsidRDefault="00CC48F9" w:rsidP="000A7CE1">
            <w:r>
              <w:rPr>
                <w:i/>
              </w:rPr>
              <w:lastRenderedPageBreak/>
              <w:t>“Aggregate Customer Information</w:t>
            </w:r>
            <w:r>
              <w:t>”</w:t>
            </w:r>
          </w:p>
          <w:p w:rsidR="00CC48F9" w:rsidRDefault="00CC48F9" w:rsidP="000A7CE1"/>
          <w:p w:rsidR="00CC48F9" w:rsidRDefault="00CC48F9" w:rsidP="000A7CE1"/>
          <w:p w:rsidR="00CC48F9" w:rsidRDefault="00CC48F9" w:rsidP="000A7CE1">
            <w:pPr>
              <w:tabs>
                <w:tab w:val="center" w:pos="4320"/>
                <w:tab w:val="right" w:pos="8640"/>
              </w:tabs>
              <w:rPr>
                <w:i/>
              </w:rPr>
            </w:pPr>
          </w:p>
          <w:p w:rsidR="00CC48F9" w:rsidRPr="00964D54" w:rsidRDefault="00CC48F9" w:rsidP="000A7CE1">
            <w:pPr>
              <w:tabs>
                <w:tab w:val="center" w:pos="4320"/>
                <w:tab w:val="right" w:pos="8640"/>
              </w:tabs>
              <w:rPr>
                <w:i/>
              </w:rPr>
            </w:pPr>
            <w:r>
              <w:rPr>
                <w:i/>
              </w:rPr>
              <w:t>“Aggregate” call record</w:t>
            </w:r>
          </w:p>
        </w:tc>
        <w:tc>
          <w:tcPr>
            <w:tcW w:w="4428" w:type="dxa"/>
          </w:tcPr>
          <w:p w:rsidR="00CC48F9" w:rsidRPr="006C387B" w:rsidRDefault="00CC48F9" w:rsidP="000A7CE1">
            <w:r w:rsidRPr="006C387B">
              <w:t>80% of carrier customers saved at least $10/month by switching to the “Super Value</w:t>
            </w:r>
            <w:r>
              <w:t>”</w:t>
            </w:r>
            <w:r w:rsidRPr="006C387B">
              <w:t xml:space="preserve"> rate plan</w:t>
            </w:r>
          </w:p>
          <w:p w:rsidR="00CC48F9" w:rsidRPr="006C387B" w:rsidRDefault="00CC48F9" w:rsidP="000A7CE1"/>
          <w:p w:rsidR="00CC48F9" w:rsidRPr="00C04CFD" w:rsidRDefault="00CC48F9" w:rsidP="000A7CE1">
            <w:r w:rsidRPr="006C387B">
              <w:t xml:space="preserve">221 customers called </w:t>
            </w:r>
            <w:r>
              <w:t>Lubbock, Tex.</w:t>
            </w:r>
            <w:r w:rsidRPr="006C387B">
              <w:t>, on January 17, at 2:42</w:t>
            </w:r>
            <w:r>
              <w:t xml:space="preserve"> </w:t>
            </w:r>
            <w:r w:rsidRPr="006C387B">
              <w:t>p</w:t>
            </w:r>
            <w:r>
              <w:t>.</w:t>
            </w:r>
            <w:r w:rsidRPr="006C387B">
              <w:t>m</w:t>
            </w:r>
            <w:r>
              <w:t>.</w:t>
            </w:r>
          </w:p>
        </w:tc>
      </w:tr>
    </w:tbl>
    <w:p w:rsidR="00CC48F9" w:rsidRDefault="00CC48F9" w:rsidP="00CC48F9"/>
    <w:p w:rsidR="00CC48F9" w:rsidRDefault="00CC48F9" w:rsidP="00CC48F9">
      <w:pPr>
        <w:pStyle w:val="BodyText2"/>
      </w:pPr>
      <w:r>
        <w:t xml:space="preserve">These are three distinct types of customer information that are used for different purposes.  While individually identifiable CPNI might be used to answer questions from Mary Jones about her phone bill, de-identified CPNI might be used by a carrier’s business consultants or third-party economist to analyze why some customers save less than others, whether calling patterns have any bearing on that, or for other types of analysis that utilize unique data elements.  </w:t>
      </w:r>
    </w:p>
    <w:p w:rsidR="00CC48F9" w:rsidRPr="00002674" w:rsidRDefault="00CC48F9" w:rsidP="00CC48F9">
      <w:pPr>
        <w:pStyle w:val="BodyText2"/>
        <w:rPr>
          <w:rFonts w:eastAsia="Cambria" w:cs="Times New Roman"/>
          <w:szCs w:val="24"/>
        </w:rPr>
      </w:pPr>
      <w:r>
        <w:rPr>
          <w:rFonts w:eastAsia="Cambria" w:cs="Times New Roman"/>
          <w:szCs w:val="24"/>
        </w:rPr>
        <w:t>Of these three types of customer information (and, again, there may be others),</w:t>
      </w:r>
      <w:r w:rsidRPr="00F93FB6">
        <w:rPr>
          <w:rFonts w:eastAsia="Cambria" w:cs="Times New Roman"/>
          <w:szCs w:val="24"/>
        </w:rPr>
        <w:t xml:space="preserve"> Section 222(c)(1) restricts use or disclosure </w:t>
      </w:r>
      <w:r>
        <w:rPr>
          <w:rFonts w:eastAsia="Cambria" w:cs="Times New Roman"/>
          <w:szCs w:val="24"/>
        </w:rPr>
        <w:t xml:space="preserve">only </w:t>
      </w:r>
      <w:r w:rsidRPr="00F93FB6">
        <w:rPr>
          <w:rFonts w:eastAsia="Cambria" w:cs="Times New Roman"/>
          <w:szCs w:val="24"/>
        </w:rPr>
        <w:t xml:space="preserve">of “individually identifiable” CPNI, whereas CPNI that is </w:t>
      </w:r>
      <w:r w:rsidR="00436DAF" w:rsidRPr="00F93FB6">
        <w:rPr>
          <w:rFonts w:eastAsia="Cambria" w:cs="Times New Roman"/>
          <w:szCs w:val="24"/>
        </w:rPr>
        <w:t xml:space="preserve">not individually identifiable </w:t>
      </w:r>
      <w:r w:rsidRPr="00F93FB6">
        <w:rPr>
          <w:rFonts w:eastAsia="Cambria" w:cs="Times New Roman"/>
          <w:szCs w:val="24"/>
        </w:rPr>
        <w:t>may be used or disclosed more freely.</w:t>
      </w:r>
      <w:r>
        <w:rPr>
          <w:rFonts w:eastAsia="Cambria" w:cs="Times New Roman"/>
          <w:szCs w:val="24"/>
        </w:rPr>
        <w:t xml:space="preserve">  As the Commission explained as recently as last summer, “Congress … requires communications providers to protect consumers’ </w:t>
      </w:r>
      <w:r w:rsidRPr="00A279ED">
        <w:rPr>
          <w:rFonts w:eastAsia="Cambria" w:cs="Times New Roman"/>
          <w:i/>
          <w:szCs w:val="24"/>
        </w:rPr>
        <w:t>sensitive personal</w:t>
      </w:r>
      <w:r>
        <w:rPr>
          <w:rFonts w:eastAsia="Cambria" w:cs="Times New Roman"/>
          <w:szCs w:val="24"/>
        </w:rPr>
        <w:t xml:space="preserve"> information to which they have access </w:t>
      </w:r>
      <w:r w:rsidR="00415CB9">
        <w:rPr>
          <w:rFonts w:eastAsia="Cambria" w:cs="Times New Roman"/>
          <w:szCs w:val="24"/>
        </w:rPr>
        <w:t xml:space="preserve">as </w:t>
      </w:r>
      <w:r>
        <w:rPr>
          <w:rFonts w:eastAsia="Cambria" w:cs="Times New Roman"/>
          <w:szCs w:val="24"/>
        </w:rPr>
        <w:t>a result of their unique position as network operators.”</w:t>
      </w:r>
      <w:r>
        <w:rPr>
          <w:rStyle w:val="FootnoteReference"/>
          <w:rFonts w:eastAsia="Cambria" w:cs="Times New Roman"/>
          <w:szCs w:val="24"/>
        </w:rPr>
        <w:footnoteReference w:id="15"/>
      </w:r>
      <w:r>
        <w:rPr>
          <w:rFonts w:eastAsia="Cambria" w:cs="Times New Roman"/>
          <w:szCs w:val="24"/>
        </w:rPr>
        <w:t xml:space="preserve">  In contrast, b</w:t>
      </w:r>
      <w:r w:rsidRPr="00F93FB6">
        <w:rPr>
          <w:rFonts w:eastAsia="Cambria" w:cs="Times New Roman"/>
          <w:szCs w:val="24"/>
        </w:rPr>
        <w:t>ecause non-individually identifiable CPNI is stripped of sensitive or personal information or characteristics, Congress permitted a carrier to use or disclose it without customer consent.</w:t>
      </w:r>
      <w:r>
        <w:rPr>
          <w:rStyle w:val="FootnoteReference"/>
          <w:rFonts w:eastAsia="Cambria" w:cs="Times New Roman"/>
          <w:szCs w:val="24"/>
        </w:rPr>
        <w:footnoteReference w:id="16"/>
      </w:r>
      <w:r w:rsidRPr="00F93FB6">
        <w:rPr>
          <w:rFonts w:eastAsia="Cambria" w:cs="Times New Roman"/>
          <w:szCs w:val="24"/>
        </w:rPr>
        <w:t xml:space="preserve">    </w:t>
      </w:r>
    </w:p>
    <w:p w:rsidR="00867768" w:rsidRPr="00867768" w:rsidRDefault="00867768" w:rsidP="00725B21">
      <w:pPr>
        <w:pStyle w:val="Style1"/>
      </w:pPr>
      <w:bookmarkStart w:id="18" w:name="_Toc377735431"/>
      <w:r w:rsidRPr="00867768">
        <w:lastRenderedPageBreak/>
        <w:t xml:space="preserve">Basic Canons of Statutory Construction Dictate that a Category of CPNI Exists that is Not “Individually Identifiable CPNI” </w:t>
      </w:r>
      <w:r w:rsidR="009C5E9C">
        <w:t>and Need Not be Formulated into “Aggregate Customer Information”</w:t>
      </w:r>
      <w:bookmarkEnd w:id="18"/>
    </w:p>
    <w:p w:rsidR="00867768" w:rsidRPr="00867768" w:rsidRDefault="00867768" w:rsidP="00867768">
      <w:pPr>
        <w:spacing w:line="480" w:lineRule="auto"/>
        <w:ind w:firstLine="720"/>
        <w:rPr>
          <w:rFonts w:eastAsia="Cambria" w:cs="Times New Roman"/>
          <w:szCs w:val="24"/>
        </w:rPr>
      </w:pPr>
      <w:r w:rsidRPr="00867768">
        <w:rPr>
          <w:rFonts w:eastAsia="Cambria" w:cs="Times New Roman"/>
          <w:szCs w:val="24"/>
        </w:rPr>
        <w:t xml:space="preserve">Contrary to </w:t>
      </w:r>
      <w:r>
        <w:rPr>
          <w:rFonts w:eastAsia="Cambria" w:cs="Times New Roman"/>
          <w:szCs w:val="24"/>
        </w:rPr>
        <w:t>Petitioners’</w:t>
      </w:r>
      <w:r w:rsidRPr="00867768">
        <w:rPr>
          <w:rFonts w:eastAsia="Cambria" w:cs="Times New Roman"/>
          <w:szCs w:val="24"/>
        </w:rPr>
        <w:t xml:space="preserve"> view, it is clear on the face of the statute and through the application of basic principles of statutory construction that </w:t>
      </w:r>
      <w:r w:rsidR="00436DAF">
        <w:rPr>
          <w:rFonts w:eastAsia="Cambria" w:cs="Times New Roman"/>
          <w:szCs w:val="24"/>
        </w:rPr>
        <w:t>customer information</w:t>
      </w:r>
      <w:r w:rsidRPr="00867768">
        <w:rPr>
          <w:rFonts w:eastAsia="Cambria" w:cs="Times New Roman"/>
          <w:szCs w:val="24"/>
        </w:rPr>
        <w:t xml:space="preserve"> does not necessarily fall into either the “individually identifiable” CPNI or the “aggregate customer information” category.  The structure of Section 222 reveals </w:t>
      </w:r>
      <w:r w:rsidR="001064C6">
        <w:rPr>
          <w:rFonts w:eastAsia="Cambria" w:cs="Times New Roman"/>
          <w:szCs w:val="24"/>
        </w:rPr>
        <w:t xml:space="preserve">that </w:t>
      </w:r>
      <w:r w:rsidRPr="00867768">
        <w:rPr>
          <w:rFonts w:eastAsia="Cambria" w:cs="Times New Roman"/>
          <w:szCs w:val="24"/>
        </w:rPr>
        <w:t>a</w:t>
      </w:r>
      <w:r w:rsidR="001064C6">
        <w:rPr>
          <w:rFonts w:eastAsia="Cambria" w:cs="Times New Roman"/>
          <w:szCs w:val="24"/>
        </w:rPr>
        <w:t>t least one additional</w:t>
      </w:r>
      <w:r w:rsidRPr="00867768">
        <w:rPr>
          <w:rFonts w:eastAsia="Cambria" w:cs="Times New Roman"/>
          <w:szCs w:val="24"/>
        </w:rPr>
        <w:t xml:space="preserve"> category of </w:t>
      </w:r>
      <w:r w:rsidR="001064C6">
        <w:rPr>
          <w:rFonts w:eastAsia="Cambria" w:cs="Times New Roman"/>
          <w:szCs w:val="24"/>
        </w:rPr>
        <w:t>customer information</w:t>
      </w:r>
      <w:r w:rsidR="001064C6" w:rsidRPr="00867768">
        <w:rPr>
          <w:rFonts w:eastAsia="Cambria" w:cs="Times New Roman"/>
          <w:szCs w:val="24"/>
        </w:rPr>
        <w:t xml:space="preserve"> </w:t>
      </w:r>
      <w:r w:rsidRPr="00867768">
        <w:rPr>
          <w:rFonts w:eastAsia="Cambria" w:cs="Times New Roman"/>
          <w:szCs w:val="24"/>
        </w:rPr>
        <w:t xml:space="preserve">exists: </w:t>
      </w:r>
      <w:r>
        <w:rPr>
          <w:rFonts w:eastAsia="Cambria" w:cs="Times New Roman"/>
          <w:szCs w:val="24"/>
        </w:rPr>
        <w:t xml:space="preserve"> </w:t>
      </w:r>
      <w:r w:rsidRPr="00867768">
        <w:rPr>
          <w:rFonts w:eastAsia="Cambria" w:cs="Times New Roman"/>
          <w:szCs w:val="24"/>
        </w:rPr>
        <w:t xml:space="preserve">non-individually identifiable CPNI.  </w:t>
      </w:r>
    </w:p>
    <w:p w:rsidR="00867768" w:rsidRPr="00867768" w:rsidRDefault="00867768" w:rsidP="00867768">
      <w:pPr>
        <w:spacing w:line="480" w:lineRule="auto"/>
        <w:ind w:firstLine="720"/>
        <w:rPr>
          <w:rFonts w:eastAsia="Cambria" w:cs="Times New Roman"/>
          <w:szCs w:val="24"/>
        </w:rPr>
      </w:pPr>
      <w:r w:rsidRPr="00867768">
        <w:rPr>
          <w:rFonts w:eastAsia="Cambria" w:cs="Times New Roman"/>
          <w:szCs w:val="24"/>
        </w:rPr>
        <w:t>Section 222 delineates</w:t>
      </w:r>
      <w:r w:rsidR="00436DAF">
        <w:rPr>
          <w:rFonts w:eastAsia="Cambria" w:cs="Times New Roman"/>
          <w:szCs w:val="24"/>
        </w:rPr>
        <w:t xml:space="preserve"> the following</w:t>
      </w:r>
      <w:r w:rsidRPr="00867768">
        <w:rPr>
          <w:rFonts w:eastAsia="Cambria" w:cs="Times New Roman"/>
          <w:szCs w:val="24"/>
        </w:rPr>
        <w:t>:</w:t>
      </w:r>
    </w:p>
    <w:p w:rsidR="001064C6" w:rsidRPr="001064C6" w:rsidRDefault="00867768" w:rsidP="00585AC8">
      <w:pPr>
        <w:numPr>
          <w:ilvl w:val="0"/>
          <w:numId w:val="11"/>
        </w:numPr>
        <w:spacing w:line="480" w:lineRule="auto"/>
        <w:ind w:firstLine="0"/>
        <w:rPr>
          <w:rFonts w:eastAsia="Cambria" w:cs="Times New Roman"/>
          <w:szCs w:val="24"/>
        </w:rPr>
      </w:pPr>
      <w:r w:rsidRPr="00867768">
        <w:rPr>
          <w:rFonts w:eastAsia="Cambria" w:cs="Times New Roman"/>
          <w:szCs w:val="24"/>
        </w:rPr>
        <w:t>In Section 222(h)(1), “CPNI,” an umbrella category of information:</w:t>
      </w:r>
    </w:p>
    <w:p w:rsidR="00867768" w:rsidRPr="001064C6" w:rsidRDefault="001064C6" w:rsidP="00585AC8">
      <w:pPr>
        <w:ind w:left="1440" w:right="1080"/>
        <w:jc w:val="both"/>
        <w:rPr>
          <w:rFonts w:eastAsia="Cambria" w:cs="Times New Roman"/>
          <w:szCs w:val="24"/>
        </w:rPr>
      </w:pPr>
      <w:r w:rsidRPr="001064C6">
        <w:rPr>
          <w:rFonts w:eastAsia="Cambria" w:cs="Times New Roman"/>
          <w:szCs w:val="24"/>
        </w:rPr>
        <w:t>The term “customer proprietary network information” means—(A) information that relates to the quantity, technical configuration, type, destination, location, and amount of use of a telecommunications service subscribed to by any c</w:t>
      </w:r>
      <w:r w:rsidRPr="00E505DC">
        <w:rPr>
          <w:rFonts w:eastAsia="Cambria" w:cs="Times New Roman"/>
          <w:szCs w:val="24"/>
        </w:rPr>
        <w:t>ustomer of a telecommunications carrier, and that is made available to the carrier by the custo</w:t>
      </w:r>
      <w:r w:rsidRPr="006174D8">
        <w:rPr>
          <w:rFonts w:eastAsia="Cambria" w:cs="Times New Roman"/>
          <w:szCs w:val="24"/>
        </w:rPr>
        <w:t>mer solely by virtue of the carrier-c</w:t>
      </w:r>
      <w:r w:rsidRPr="00176398">
        <w:rPr>
          <w:rFonts w:eastAsia="Cambria" w:cs="Times New Roman"/>
          <w:szCs w:val="24"/>
        </w:rPr>
        <w:t>ustomer relationship; and (B) information contained in the bills pertaining to telephone exchange service or telephone toll service received by a customer of a carrier; except that such term does not include subscriber list information.</w:t>
      </w:r>
      <w:r w:rsidR="00867768" w:rsidRPr="00867768">
        <w:rPr>
          <w:rFonts w:eastAsia="Cambria" w:cs="Times New Roman"/>
          <w:szCs w:val="24"/>
          <w:vertAlign w:val="superscript"/>
        </w:rPr>
        <w:footnoteReference w:id="17"/>
      </w:r>
      <w:r w:rsidR="00867768" w:rsidRPr="001064C6">
        <w:rPr>
          <w:rFonts w:eastAsia="Cambria" w:cs="Times New Roman"/>
          <w:szCs w:val="24"/>
        </w:rPr>
        <w:t xml:space="preserve"> </w:t>
      </w:r>
    </w:p>
    <w:p w:rsidR="001064C6" w:rsidRPr="00867768" w:rsidRDefault="001064C6" w:rsidP="00423192">
      <w:pPr>
        <w:ind w:left="360"/>
        <w:rPr>
          <w:rFonts w:eastAsia="Cambria" w:cs="Times New Roman"/>
          <w:szCs w:val="24"/>
        </w:rPr>
      </w:pPr>
    </w:p>
    <w:p w:rsidR="001064C6" w:rsidRPr="00423192" w:rsidRDefault="00867768" w:rsidP="00585AC8">
      <w:pPr>
        <w:numPr>
          <w:ilvl w:val="0"/>
          <w:numId w:val="11"/>
        </w:numPr>
        <w:spacing w:line="480" w:lineRule="auto"/>
        <w:ind w:left="1440" w:hanging="630"/>
        <w:rPr>
          <w:rFonts w:eastAsia="Cambria" w:cs="Times New Roman"/>
          <w:szCs w:val="24"/>
        </w:rPr>
      </w:pPr>
      <w:r w:rsidRPr="00867768">
        <w:rPr>
          <w:rFonts w:eastAsia="Cambria" w:cs="Times New Roman"/>
          <w:szCs w:val="24"/>
        </w:rPr>
        <w:t>In Section 222(c)(1), “individually identifiable” CPNI, a sub-category of CPNI which is then qualified for protection from disclosure:</w:t>
      </w:r>
    </w:p>
    <w:p w:rsidR="00867768" w:rsidRDefault="001064C6" w:rsidP="00585AC8">
      <w:pPr>
        <w:ind w:left="1440" w:right="1080"/>
        <w:jc w:val="both"/>
        <w:rPr>
          <w:rFonts w:eastAsia="Cambria" w:cs="Times New Roman"/>
          <w:szCs w:val="24"/>
        </w:rPr>
      </w:pPr>
      <w:r>
        <w:rPr>
          <w:rFonts w:eastAsia="Cambria" w:cs="Times New Roman"/>
          <w:szCs w:val="24"/>
        </w:rPr>
        <w:t xml:space="preserve">Except as required by law or with the approval of the customer, a telecommunications carrier that receives or obtains [CPNI] by virtue of its provision of a telecommunications service shall only use, disclose, or permit access to </w:t>
      </w:r>
      <w:r w:rsidRPr="00423192">
        <w:rPr>
          <w:rFonts w:eastAsia="Cambria" w:cs="Times New Roman"/>
          <w:i/>
          <w:szCs w:val="24"/>
        </w:rPr>
        <w:t>individually identifiable</w:t>
      </w:r>
      <w:r>
        <w:rPr>
          <w:rFonts w:eastAsia="Cambria" w:cs="Times New Roman"/>
          <w:szCs w:val="24"/>
        </w:rPr>
        <w:t xml:space="preserve"> [CPNI] in its provision of (A) the telecommunications service from which such information is derived, or (B) services necessary to, or used in, the provision of such telecommunications service, including the publishing of directories.</w:t>
      </w:r>
      <w:r w:rsidR="00867768" w:rsidRPr="00867768">
        <w:rPr>
          <w:rFonts w:eastAsia="Cambria" w:cs="Times New Roman"/>
          <w:szCs w:val="24"/>
          <w:vertAlign w:val="superscript"/>
        </w:rPr>
        <w:footnoteReference w:id="18"/>
      </w:r>
      <w:r w:rsidR="00867768" w:rsidRPr="00867768">
        <w:rPr>
          <w:rFonts w:eastAsia="Cambria" w:cs="Times New Roman"/>
          <w:szCs w:val="24"/>
        </w:rPr>
        <w:t xml:space="preserve"> </w:t>
      </w:r>
    </w:p>
    <w:p w:rsidR="001064C6" w:rsidRPr="00867768" w:rsidRDefault="001064C6" w:rsidP="00423192">
      <w:pPr>
        <w:ind w:left="1080" w:right="1080" w:hanging="720"/>
        <w:jc w:val="both"/>
        <w:rPr>
          <w:rFonts w:eastAsia="Cambria" w:cs="Times New Roman"/>
          <w:szCs w:val="24"/>
        </w:rPr>
      </w:pPr>
    </w:p>
    <w:p w:rsidR="001064C6" w:rsidRDefault="00867768" w:rsidP="00585AC8">
      <w:pPr>
        <w:numPr>
          <w:ilvl w:val="0"/>
          <w:numId w:val="11"/>
        </w:numPr>
        <w:spacing w:line="480" w:lineRule="auto"/>
        <w:ind w:left="1440" w:hanging="630"/>
        <w:rPr>
          <w:rFonts w:eastAsia="Cambria" w:cs="Times New Roman"/>
          <w:szCs w:val="24"/>
        </w:rPr>
      </w:pPr>
      <w:r w:rsidRPr="00867768">
        <w:rPr>
          <w:rFonts w:eastAsia="Cambria" w:cs="Times New Roman"/>
          <w:szCs w:val="24"/>
        </w:rPr>
        <w:lastRenderedPageBreak/>
        <w:t>In Section 222(h)(2), transformed, de-identified CPNI that, when aggregated, forms “aggregate customer information”</w:t>
      </w:r>
      <w:r w:rsidR="000A7CE1">
        <w:rPr>
          <w:rFonts w:eastAsia="Cambria" w:cs="Times New Roman"/>
          <w:szCs w:val="24"/>
        </w:rPr>
        <w:t xml:space="preserve"> that</w:t>
      </w:r>
      <w:r w:rsidR="000A7CE1" w:rsidRPr="00867768">
        <w:rPr>
          <w:rFonts w:eastAsia="Cambria" w:cs="Times New Roman"/>
          <w:szCs w:val="24"/>
        </w:rPr>
        <w:t xml:space="preserve"> </w:t>
      </w:r>
      <w:r w:rsidRPr="00867768">
        <w:rPr>
          <w:rFonts w:eastAsia="Cambria" w:cs="Times New Roman"/>
          <w:szCs w:val="24"/>
        </w:rPr>
        <w:t>may be used or disclosed without customer approval</w:t>
      </w:r>
      <w:r w:rsidR="00AF4E45">
        <w:rPr>
          <w:rFonts w:eastAsia="Cambria" w:cs="Times New Roman"/>
          <w:szCs w:val="24"/>
        </w:rPr>
        <w:t xml:space="preserve"> under Section 222(c)(3)</w:t>
      </w:r>
      <w:r w:rsidRPr="00867768">
        <w:rPr>
          <w:rFonts w:eastAsia="Cambria" w:cs="Times New Roman"/>
          <w:szCs w:val="24"/>
        </w:rPr>
        <w:t>:</w:t>
      </w:r>
    </w:p>
    <w:p w:rsidR="001064C6" w:rsidRDefault="001064C6" w:rsidP="00585AC8">
      <w:pPr>
        <w:ind w:left="1440" w:right="1080"/>
        <w:jc w:val="both"/>
        <w:rPr>
          <w:rFonts w:eastAsia="Cambria" w:cs="Times New Roman"/>
          <w:szCs w:val="24"/>
        </w:rPr>
      </w:pPr>
      <w:r>
        <w:rPr>
          <w:rFonts w:eastAsia="Cambria" w:cs="Times New Roman"/>
          <w:szCs w:val="24"/>
        </w:rPr>
        <w:t>The term “aggregate customer information” means collective data that relates to a group or category of services or customers, from which individual customer identities and characteristics have been removed.</w:t>
      </w:r>
      <w:r w:rsidR="00867768" w:rsidRPr="00867768">
        <w:rPr>
          <w:rFonts w:eastAsia="Cambria" w:cs="Times New Roman"/>
          <w:szCs w:val="24"/>
          <w:vertAlign w:val="superscript"/>
        </w:rPr>
        <w:footnoteReference w:id="19"/>
      </w:r>
      <w:r w:rsidR="00867768" w:rsidRPr="00867768">
        <w:rPr>
          <w:rFonts w:eastAsia="Cambria" w:cs="Times New Roman"/>
          <w:szCs w:val="24"/>
        </w:rPr>
        <w:t xml:space="preserve"> </w:t>
      </w:r>
    </w:p>
    <w:p w:rsidR="001064C6" w:rsidRDefault="001064C6" w:rsidP="00423192">
      <w:pPr>
        <w:ind w:left="1080" w:right="1080" w:hanging="720"/>
        <w:jc w:val="both"/>
        <w:rPr>
          <w:rFonts w:eastAsia="Cambria" w:cs="Times New Roman"/>
          <w:szCs w:val="24"/>
        </w:rPr>
      </w:pPr>
    </w:p>
    <w:p w:rsidR="001064C6" w:rsidRDefault="001064C6" w:rsidP="00585AC8">
      <w:pPr>
        <w:numPr>
          <w:ilvl w:val="0"/>
          <w:numId w:val="11"/>
        </w:numPr>
        <w:spacing w:line="480" w:lineRule="auto"/>
        <w:ind w:left="1440" w:hanging="630"/>
        <w:rPr>
          <w:rFonts w:eastAsia="Cambria" w:cs="Times New Roman"/>
          <w:szCs w:val="24"/>
        </w:rPr>
      </w:pPr>
      <w:r>
        <w:rPr>
          <w:rFonts w:eastAsia="Cambria" w:cs="Times New Roman"/>
          <w:szCs w:val="24"/>
        </w:rPr>
        <w:t>And, i</w:t>
      </w:r>
      <w:r w:rsidR="00867768" w:rsidRPr="00867768">
        <w:rPr>
          <w:rFonts w:eastAsia="Cambria" w:cs="Times New Roman"/>
          <w:szCs w:val="24"/>
        </w:rPr>
        <w:t>n Section 222(h)(3), a published version of customer information, “subscriber list information”:</w:t>
      </w:r>
    </w:p>
    <w:p w:rsidR="00867768" w:rsidRDefault="000A7CE1" w:rsidP="00585AC8">
      <w:pPr>
        <w:ind w:left="1440" w:right="1080"/>
        <w:jc w:val="both"/>
        <w:rPr>
          <w:rFonts w:eastAsia="Cambria" w:cs="Times New Roman"/>
          <w:szCs w:val="24"/>
        </w:rPr>
      </w:pPr>
      <w:r>
        <w:rPr>
          <w:rFonts w:eastAsia="Cambria" w:cs="Times New Roman"/>
          <w:szCs w:val="24"/>
        </w:rPr>
        <w:t>The term “subscriber list information” means any information—(A) identifying the listed names of subscribers of a carrier and such subscribers’ telephone numbers, addresses, or primary advertising classifications …; and (B) that the carrier or an affiliate has published, caused to be published, or accepted for publication in any directory format.</w:t>
      </w:r>
      <w:r w:rsidR="00867768" w:rsidRPr="00867768">
        <w:rPr>
          <w:rFonts w:eastAsia="Cambria" w:cs="Times New Roman"/>
          <w:szCs w:val="24"/>
          <w:vertAlign w:val="superscript"/>
        </w:rPr>
        <w:footnoteReference w:id="20"/>
      </w:r>
      <w:r w:rsidR="00867768" w:rsidRPr="00867768">
        <w:rPr>
          <w:rFonts w:eastAsia="Cambria" w:cs="Times New Roman"/>
          <w:szCs w:val="24"/>
        </w:rPr>
        <w:t xml:space="preserve">   </w:t>
      </w:r>
    </w:p>
    <w:p w:rsidR="000A7CE1" w:rsidRPr="00867768" w:rsidRDefault="000A7CE1" w:rsidP="00423192">
      <w:pPr>
        <w:ind w:left="1080" w:right="1080" w:hanging="720"/>
        <w:jc w:val="both"/>
        <w:rPr>
          <w:rFonts w:eastAsia="Cambria" w:cs="Times New Roman"/>
          <w:szCs w:val="24"/>
        </w:rPr>
      </w:pPr>
    </w:p>
    <w:p w:rsidR="00867768" w:rsidRPr="00867768" w:rsidRDefault="000A7CE1" w:rsidP="00867768">
      <w:pPr>
        <w:spacing w:line="480" w:lineRule="auto"/>
        <w:ind w:firstLine="720"/>
        <w:rPr>
          <w:rFonts w:eastAsia="Cambria" w:cs="Times New Roman"/>
          <w:szCs w:val="24"/>
        </w:rPr>
      </w:pPr>
      <w:r>
        <w:rPr>
          <w:rFonts w:eastAsia="Cambria" w:cs="Times New Roman"/>
          <w:szCs w:val="24"/>
        </w:rPr>
        <w:t xml:space="preserve">Given these terms, </w:t>
      </w:r>
      <w:r w:rsidR="00867768" w:rsidRPr="00867768">
        <w:rPr>
          <w:rFonts w:eastAsia="Cambria" w:cs="Times New Roman"/>
          <w:szCs w:val="24"/>
        </w:rPr>
        <w:t xml:space="preserve">Petitioners’ claim fails on </w:t>
      </w:r>
      <w:r w:rsidR="001064C6">
        <w:rPr>
          <w:rFonts w:eastAsia="Cambria" w:cs="Times New Roman"/>
          <w:szCs w:val="24"/>
        </w:rPr>
        <w:t>several</w:t>
      </w:r>
      <w:r w:rsidR="001064C6" w:rsidRPr="00867768">
        <w:rPr>
          <w:rFonts w:eastAsia="Cambria" w:cs="Times New Roman"/>
          <w:szCs w:val="24"/>
        </w:rPr>
        <w:t xml:space="preserve"> </w:t>
      </w:r>
      <w:r w:rsidR="00867768" w:rsidRPr="00867768">
        <w:rPr>
          <w:rFonts w:eastAsia="Cambria" w:cs="Times New Roman"/>
          <w:szCs w:val="24"/>
        </w:rPr>
        <w:t xml:space="preserve">fronts.  </w:t>
      </w:r>
      <w:r w:rsidR="001064C6">
        <w:rPr>
          <w:rFonts w:eastAsia="Cambria" w:cs="Times New Roman"/>
          <w:szCs w:val="24"/>
        </w:rPr>
        <w:t>First</w:t>
      </w:r>
      <w:r w:rsidR="00867768" w:rsidRPr="00867768">
        <w:rPr>
          <w:rFonts w:eastAsia="Cambria" w:cs="Times New Roman"/>
          <w:szCs w:val="24"/>
        </w:rPr>
        <w:t>, whereas Congress defined the general category of CPNI in Section 222(h), it used the qualifier “individually identifiable” only in Section 222(c)(1).  Use of the qualifier necessarily dictates that another category of CPNI must also exist, a category of CPNI that is not</w:t>
      </w:r>
      <w:r w:rsidR="00CC48F9">
        <w:rPr>
          <w:rFonts w:eastAsia="Cambria" w:cs="Times New Roman"/>
          <w:szCs w:val="24"/>
        </w:rPr>
        <w:t xml:space="preserve"> </w:t>
      </w:r>
      <w:r w:rsidR="00867768" w:rsidRPr="00867768">
        <w:rPr>
          <w:rFonts w:eastAsia="Cambria" w:cs="Times New Roman"/>
          <w:szCs w:val="24"/>
        </w:rPr>
        <w:t>individually identifiable.  “When Congress includes a specific term in one section of a statute but omits it in another section of the same Act, it should not be implied where it is excluded.”</w:t>
      </w:r>
      <w:r w:rsidR="00867768" w:rsidRPr="00867768">
        <w:rPr>
          <w:rFonts w:eastAsia="Cambria" w:cs="Times New Roman"/>
          <w:szCs w:val="24"/>
          <w:vertAlign w:val="superscript"/>
        </w:rPr>
        <w:footnoteReference w:id="21"/>
      </w:r>
      <w:r w:rsidR="00867768" w:rsidRPr="00867768">
        <w:rPr>
          <w:rFonts w:eastAsia="Cambria" w:cs="Times New Roman"/>
          <w:szCs w:val="24"/>
        </w:rPr>
        <w:t xml:space="preserve">  Indeed, the </w:t>
      </w:r>
      <w:r w:rsidR="00867768" w:rsidRPr="008942E4">
        <w:rPr>
          <w:rFonts w:eastAsia="Cambria" w:cs="Times New Roman"/>
          <w:i/>
          <w:szCs w:val="24"/>
        </w:rPr>
        <w:t>very same sentence</w:t>
      </w:r>
      <w:r w:rsidR="00867768" w:rsidRPr="00867768">
        <w:rPr>
          <w:rFonts w:eastAsia="Cambria" w:cs="Times New Roman"/>
          <w:szCs w:val="24"/>
        </w:rPr>
        <w:t xml:space="preserve"> in Section 222(c)(1) includes the general term “</w:t>
      </w:r>
      <w:r>
        <w:rPr>
          <w:rFonts w:eastAsia="Cambria" w:cs="Times New Roman"/>
          <w:szCs w:val="24"/>
        </w:rPr>
        <w:t>customer proprietary network information</w:t>
      </w:r>
      <w:r w:rsidR="00867768" w:rsidRPr="00867768">
        <w:rPr>
          <w:rFonts w:eastAsia="Cambria" w:cs="Times New Roman"/>
          <w:szCs w:val="24"/>
        </w:rPr>
        <w:t xml:space="preserve">” and the qualified term “individually identifiable customer proprietary network information,” indicating that Congress intended the second, qualified reference to refer only to a subset of the first:  </w:t>
      </w:r>
    </w:p>
    <w:p w:rsidR="00867768" w:rsidRPr="00867768" w:rsidRDefault="00867768" w:rsidP="00CC48F9">
      <w:pPr>
        <w:pStyle w:val="BodyText2"/>
        <w:spacing w:line="240" w:lineRule="auto"/>
        <w:ind w:left="1080" w:right="1080" w:firstLine="0"/>
        <w:jc w:val="both"/>
        <w:rPr>
          <w:rFonts w:eastAsia="Cambria" w:cs="Times New Roman"/>
          <w:szCs w:val="24"/>
        </w:rPr>
      </w:pPr>
      <w:r w:rsidRPr="00867768">
        <w:rPr>
          <w:rFonts w:eastAsia="Cambria" w:cs="Times New Roman"/>
          <w:szCs w:val="24"/>
        </w:rPr>
        <w:lastRenderedPageBreak/>
        <w:t xml:space="preserve">Except … with the approval of the customer, a telecommunications carrier that receives or obtains </w:t>
      </w:r>
      <w:r w:rsidRPr="00867768">
        <w:rPr>
          <w:rFonts w:eastAsia="Cambria" w:cs="Times New Roman"/>
          <w:i/>
          <w:szCs w:val="24"/>
        </w:rPr>
        <w:t>customer proprietary network information</w:t>
      </w:r>
      <w:r w:rsidRPr="00867768">
        <w:rPr>
          <w:rFonts w:eastAsia="Cambria" w:cs="Times New Roman"/>
          <w:szCs w:val="24"/>
        </w:rPr>
        <w:t xml:space="preserve"> by virtue of its provision of a telecommunications service shall only use, disclose, or permit access to </w:t>
      </w:r>
      <w:r w:rsidRPr="00867768">
        <w:rPr>
          <w:rFonts w:eastAsia="Cambria" w:cs="Times New Roman"/>
          <w:i/>
          <w:szCs w:val="24"/>
        </w:rPr>
        <w:t>individually identifiable customer proprietary network information</w:t>
      </w:r>
      <w:r w:rsidRPr="00867768">
        <w:rPr>
          <w:rFonts w:eastAsia="Cambria" w:cs="Times New Roman"/>
          <w:szCs w:val="24"/>
        </w:rPr>
        <w:t xml:space="preserve"> ….</w:t>
      </w:r>
      <w:r w:rsidRPr="00867768">
        <w:rPr>
          <w:rFonts w:eastAsia="Cambria" w:cs="Times New Roman"/>
          <w:szCs w:val="24"/>
          <w:vertAlign w:val="superscript"/>
        </w:rPr>
        <w:footnoteReference w:id="22"/>
      </w:r>
      <w:r w:rsidRPr="00867768">
        <w:rPr>
          <w:rFonts w:eastAsia="Cambria" w:cs="Times New Roman"/>
          <w:szCs w:val="24"/>
        </w:rPr>
        <w:t xml:space="preserve"> </w:t>
      </w:r>
    </w:p>
    <w:p w:rsidR="00867768" w:rsidRPr="00867768" w:rsidRDefault="00867768" w:rsidP="00867768">
      <w:pPr>
        <w:tabs>
          <w:tab w:val="left" w:pos="8640"/>
        </w:tabs>
        <w:ind w:left="720" w:right="720"/>
        <w:rPr>
          <w:rFonts w:eastAsia="Cambria" w:cs="Times New Roman"/>
          <w:szCs w:val="24"/>
        </w:rPr>
      </w:pPr>
    </w:p>
    <w:p w:rsidR="00867768" w:rsidRPr="00867768" w:rsidRDefault="00867768" w:rsidP="00867768">
      <w:pPr>
        <w:spacing w:line="480" w:lineRule="auto"/>
        <w:rPr>
          <w:rFonts w:eastAsia="Cambria" w:cs="Times New Roman"/>
          <w:szCs w:val="24"/>
        </w:rPr>
      </w:pPr>
      <w:r w:rsidRPr="00867768">
        <w:rPr>
          <w:rFonts w:eastAsia="Cambria" w:cs="Times New Roman"/>
          <w:szCs w:val="24"/>
        </w:rPr>
        <w:t xml:space="preserve">Had Congress intended for the protections of 222(c)(1) to apply to </w:t>
      </w:r>
      <w:r w:rsidRPr="00867768">
        <w:rPr>
          <w:rFonts w:eastAsia="Cambria" w:cs="Times New Roman"/>
          <w:i/>
          <w:szCs w:val="24"/>
        </w:rPr>
        <w:t>all</w:t>
      </w:r>
      <w:r w:rsidRPr="00867768">
        <w:rPr>
          <w:rFonts w:eastAsia="Cambria" w:cs="Times New Roman"/>
          <w:szCs w:val="24"/>
        </w:rPr>
        <w:t xml:space="preserve"> CPNI, it </w:t>
      </w:r>
      <w:r w:rsidR="00AF4E45">
        <w:rPr>
          <w:rFonts w:eastAsia="Cambria" w:cs="Times New Roman"/>
          <w:szCs w:val="24"/>
        </w:rPr>
        <w:t>c</w:t>
      </w:r>
      <w:r w:rsidRPr="00867768">
        <w:rPr>
          <w:rFonts w:eastAsia="Cambria" w:cs="Times New Roman"/>
          <w:szCs w:val="24"/>
        </w:rPr>
        <w:t xml:space="preserve">ould have said “CPNI” or “such CPNI” in the second instance.  </w:t>
      </w:r>
    </w:p>
    <w:p w:rsidR="00867768" w:rsidRDefault="000A7CE1" w:rsidP="00867768">
      <w:pPr>
        <w:spacing w:line="480" w:lineRule="auto"/>
        <w:ind w:firstLine="720"/>
        <w:rPr>
          <w:rFonts w:eastAsia="Cambria" w:cs="Times New Roman"/>
          <w:szCs w:val="24"/>
        </w:rPr>
      </w:pPr>
      <w:r>
        <w:rPr>
          <w:rFonts w:eastAsia="Cambria" w:cs="Times New Roman"/>
          <w:szCs w:val="24"/>
        </w:rPr>
        <w:t>Second</w:t>
      </w:r>
      <w:r w:rsidR="00867768" w:rsidRPr="00867768">
        <w:rPr>
          <w:rFonts w:eastAsia="Cambria" w:cs="Times New Roman"/>
          <w:szCs w:val="24"/>
        </w:rPr>
        <w:t>, canons of statutory construction also recognize a distinction between general and specific terms; general provisions do not qualify specific ones (</w:t>
      </w:r>
      <w:r w:rsidR="00867768" w:rsidRPr="00867768">
        <w:rPr>
          <w:rFonts w:eastAsia="Cambria" w:cs="Times New Roman"/>
          <w:i/>
          <w:szCs w:val="24"/>
        </w:rPr>
        <w:t>generalia specialibus non derogant</w:t>
      </w:r>
      <w:r w:rsidR="00867768" w:rsidRPr="00867768">
        <w:rPr>
          <w:rFonts w:eastAsia="Cambria" w:cs="Times New Roman"/>
          <w:szCs w:val="24"/>
        </w:rPr>
        <w:t>).</w:t>
      </w:r>
      <w:r w:rsidR="00867768" w:rsidRPr="00867768">
        <w:rPr>
          <w:rFonts w:eastAsia="Cambria" w:cs="Times New Roman"/>
          <w:szCs w:val="24"/>
          <w:vertAlign w:val="superscript"/>
        </w:rPr>
        <w:footnoteReference w:id="23"/>
      </w:r>
      <w:r w:rsidR="00867768" w:rsidRPr="00867768">
        <w:rPr>
          <w:rFonts w:eastAsia="Cambria" w:cs="Times New Roman"/>
          <w:szCs w:val="24"/>
        </w:rPr>
        <w:t xml:space="preserve">  Thus, where Congress has specified how “individually identifiable” CPNI should be treated, that provision governs individually identifiable CPNI, and only individually identifiable CPNI.</w:t>
      </w:r>
    </w:p>
    <w:p w:rsidR="009C5E9C" w:rsidRPr="00867768" w:rsidRDefault="009C5E9C" w:rsidP="00867768">
      <w:pPr>
        <w:spacing w:line="480" w:lineRule="auto"/>
        <w:ind w:firstLine="720"/>
        <w:rPr>
          <w:rFonts w:eastAsia="Cambria" w:cs="Times New Roman"/>
          <w:szCs w:val="24"/>
        </w:rPr>
      </w:pPr>
      <w:r w:rsidRPr="009C5E9C">
        <w:rPr>
          <w:rFonts w:eastAsia="Cambria" w:cs="Times New Roman"/>
          <w:szCs w:val="24"/>
        </w:rPr>
        <w:t xml:space="preserve">Finally, Petitioners are wrong in claiming that the only alternative </w:t>
      </w:r>
      <w:r w:rsidR="00AF4E45">
        <w:rPr>
          <w:rFonts w:eastAsia="Cambria" w:cs="Times New Roman"/>
          <w:szCs w:val="24"/>
        </w:rPr>
        <w:t>category</w:t>
      </w:r>
      <w:r w:rsidR="00AF4E45" w:rsidRPr="009C5E9C">
        <w:rPr>
          <w:rFonts w:eastAsia="Cambria" w:cs="Times New Roman"/>
          <w:szCs w:val="24"/>
        </w:rPr>
        <w:t xml:space="preserve"> </w:t>
      </w:r>
      <w:r w:rsidRPr="009C5E9C">
        <w:rPr>
          <w:rFonts w:eastAsia="Cambria" w:cs="Times New Roman"/>
          <w:szCs w:val="24"/>
        </w:rPr>
        <w:t>for de-identified customer information is “aggregate customer information.”</w:t>
      </w:r>
      <w:r w:rsidRPr="009C5E9C">
        <w:rPr>
          <w:rFonts w:eastAsia="Cambria" w:cs="Times New Roman"/>
          <w:szCs w:val="24"/>
          <w:vertAlign w:val="superscript"/>
        </w:rPr>
        <w:footnoteReference w:id="24"/>
      </w:r>
      <w:r w:rsidRPr="009C5E9C">
        <w:rPr>
          <w:rFonts w:eastAsia="Cambria" w:cs="Times New Roman"/>
          <w:szCs w:val="24"/>
        </w:rPr>
        <w:t xml:space="preserve">  Although aggregate customer information is information “from which individual customer identities and characteristics have been removed,” such information must also be “collective data that relates to a group or category of services or customers.”</w:t>
      </w:r>
      <w:r w:rsidRPr="009C5E9C">
        <w:rPr>
          <w:rFonts w:eastAsia="Cambria" w:cs="Times New Roman"/>
          <w:szCs w:val="24"/>
          <w:vertAlign w:val="superscript"/>
        </w:rPr>
        <w:footnoteReference w:id="25"/>
      </w:r>
      <w:r w:rsidRPr="009C5E9C">
        <w:rPr>
          <w:rFonts w:eastAsia="Cambria" w:cs="Times New Roman"/>
          <w:szCs w:val="24"/>
        </w:rPr>
        <w:t xml:space="preserve">  Customer information need not meet the definition of “aggregate customer information,” however, in order to be excluded from the category of “individually identifiable” CPNI.  A more logical reading of the statute is that </w:t>
      </w:r>
      <w:r w:rsidR="00AF4E45">
        <w:rPr>
          <w:rFonts w:eastAsia="Cambria" w:cs="Times New Roman"/>
          <w:szCs w:val="24"/>
        </w:rPr>
        <w:t xml:space="preserve">an </w:t>
      </w:r>
      <w:r w:rsidRPr="009C5E9C">
        <w:rPr>
          <w:rFonts w:eastAsia="Cambria" w:cs="Times New Roman"/>
          <w:szCs w:val="24"/>
        </w:rPr>
        <w:t xml:space="preserve">individual data point of de-identified or anonymous customer information </w:t>
      </w:r>
      <w:r w:rsidR="00AF4E45">
        <w:rPr>
          <w:rFonts w:eastAsia="Cambria" w:cs="Times New Roman"/>
          <w:szCs w:val="24"/>
        </w:rPr>
        <w:t>is</w:t>
      </w:r>
      <w:r w:rsidRPr="009C5E9C">
        <w:rPr>
          <w:rFonts w:eastAsia="Cambria" w:cs="Times New Roman"/>
          <w:szCs w:val="24"/>
        </w:rPr>
        <w:t xml:space="preserve"> not “aggregate customer information,” </w:t>
      </w:r>
      <w:r w:rsidR="00AF4E45">
        <w:rPr>
          <w:rFonts w:eastAsia="Cambria" w:cs="Times New Roman"/>
          <w:szCs w:val="24"/>
        </w:rPr>
        <w:t>although</w:t>
      </w:r>
      <w:r w:rsidRPr="009C5E9C">
        <w:rPr>
          <w:rFonts w:eastAsia="Cambria" w:cs="Times New Roman"/>
          <w:szCs w:val="24"/>
        </w:rPr>
        <w:t xml:space="preserve"> “collective data” of such information may be.</w:t>
      </w:r>
    </w:p>
    <w:p w:rsidR="009C5E9C" w:rsidRPr="00002674" w:rsidRDefault="00AF4E45" w:rsidP="009C5E9C">
      <w:pPr>
        <w:pStyle w:val="Style1"/>
      </w:pPr>
      <w:bookmarkStart w:id="19" w:name="_Toc377735432"/>
      <w:r>
        <w:lastRenderedPageBreak/>
        <w:t xml:space="preserve">Congress’ Treatment of </w:t>
      </w:r>
      <w:r w:rsidR="009C5E9C">
        <w:t xml:space="preserve">“Aggregate Customer Information” </w:t>
      </w:r>
      <w:r>
        <w:t>in Section 222(c)(3) Underscores It Was Not Concerned about the Privacy of Customer Information that is Not Individually Identifiable</w:t>
      </w:r>
      <w:bookmarkEnd w:id="19"/>
    </w:p>
    <w:p w:rsidR="009C5E9C" w:rsidRDefault="00A8685D" w:rsidP="009C5E9C">
      <w:pPr>
        <w:pStyle w:val="BodyText2"/>
        <w:rPr>
          <w:rFonts w:eastAsia="Cambria" w:cs="Times New Roman"/>
          <w:szCs w:val="24"/>
        </w:rPr>
      </w:pPr>
      <w:r>
        <w:rPr>
          <w:rFonts w:eastAsia="Cambria" w:cs="Times New Roman"/>
          <w:szCs w:val="24"/>
        </w:rPr>
        <w:t>Congress’</w:t>
      </w:r>
      <w:r w:rsidR="009C5E9C">
        <w:rPr>
          <w:rFonts w:eastAsia="Cambria" w:cs="Times New Roman"/>
          <w:szCs w:val="24"/>
        </w:rPr>
        <w:t xml:space="preserve"> </w:t>
      </w:r>
      <w:r w:rsidR="00AF4E45">
        <w:rPr>
          <w:rFonts w:eastAsia="Cambria" w:cs="Times New Roman"/>
          <w:szCs w:val="24"/>
        </w:rPr>
        <w:t>decision to allow</w:t>
      </w:r>
      <w:r w:rsidR="009C5E9C">
        <w:rPr>
          <w:rFonts w:eastAsia="Cambria" w:cs="Times New Roman"/>
          <w:szCs w:val="24"/>
        </w:rPr>
        <w:t xml:space="preserve"> “aggregate customer information” t</w:t>
      </w:r>
      <w:r w:rsidR="00AF4E45">
        <w:rPr>
          <w:rFonts w:eastAsia="Cambria" w:cs="Times New Roman"/>
          <w:szCs w:val="24"/>
        </w:rPr>
        <w:t>o</w:t>
      </w:r>
      <w:r w:rsidR="009C5E9C">
        <w:rPr>
          <w:rFonts w:eastAsia="Cambria" w:cs="Times New Roman"/>
          <w:szCs w:val="24"/>
        </w:rPr>
        <w:t xml:space="preserve"> be used, disclosed, and otherwise accessed without customer consent is further evidence of its interest in protecting only personal, sensitive information and not information that has been stripped of its sensitive nature.</w:t>
      </w:r>
      <w:r w:rsidR="009C5E9C">
        <w:rPr>
          <w:rStyle w:val="FootnoteReference"/>
          <w:rFonts w:eastAsia="Cambria" w:cs="Times New Roman"/>
          <w:szCs w:val="24"/>
        </w:rPr>
        <w:footnoteReference w:id="26"/>
      </w:r>
      <w:r w:rsidR="00C04CFD">
        <w:rPr>
          <w:rFonts w:eastAsia="Cambria" w:cs="Times New Roman"/>
          <w:szCs w:val="24"/>
        </w:rPr>
        <w:t xml:space="preserve">  The statute</w:t>
      </w:r>
      <w:r w:rsidR="009C5E9C">
        <w:rPr>
          <w:rFonts w:eastAsia="Cambria" w:cs="Times New Roman"/>
          <w:szCs w:val="24"/>
        </w:rPr>
        <w:t xml:space="preserve"> </w:t>
      </w:r>
      <w:r w:rsidR="00C04CFD">
        <w:rPr>
          <w:rFonts w:eastAsia="Cambria" w:cs="Times New Roman"/>
          <w:szCs w:val="24"/>
        </w:rPr>
        <w:t>provides</w:t>
      </w:r>
      <w:r w:rsidR="009C5E9C">
        <w:rPr>
          <w:rFonts w:eastAsia="Cambria" w:cs="Times New Roman"/>
          <w:szCs w:val="24"/>
        </w:rPr>
        <w:t xml:space="preserve"> that once “individual customer identities and characteristics have been removed,”</w:t>
      </w:r>
      <w:r w:rsidR="009C5E9C">
        <w:rPr>
          <w:rStyle w:val="FootnoteReference"/>
          <w:rFonts w:eastAsia="Cambria" w:cs="Times New Roman"/>
          <w:szCs w:val="24"/>
        </w:rPr>
        <w:footnoteReference w:id="27"/>
      </w:r>
      <w:r w:rsidR="009C5E9C">
        <w:rPr>
          <w:rFonts w:eastAsia="Cambria" w:cs="Times New Roman"/>
          <w:szCs w:val="24"/>
        </w:rPr>
        <w:t xml:space="preserve"> this type of customer information no longer warrants the protections of Section 222(c)(1).</w:t>
      </w:r>
    </w:p>
    <w:p w:rsidR="009C5E9C" w:rsidRDefault="009C5E9C" w:rsidP="009C5E9C">
      <w:pPr>
        <w:pStyle w:val="BodyText2"/>
        <w:rPr>
          <w:rFonts w:eastAsia="Cambria" w:cs="Times New Roman"/>
          <w:szCs w:val="24"/>
        </w:rPr>
      </w:pPr>
      <w:r>
        <w:rPr>
          <w:rFonts w:eastAsia="Cambria" w:cs="Times New Roman"/>
          <w:szCs w:val="24"/>
        </w:rPr>
        <w:t xml:space="preserve">Indeed, Congress did not enact the “aggregate customer information” provision with an eye toward privacy at all.  As the </w:t>
      </w:r>
      <w:r w:rsidRPr="00867768">
        <w:rPr>
          <w:rFonts w:eastAsia="Cambria" w:cs="Times New Roman"/>
          <w:szCs w:val="24"/>
        </w:rPr>
        <w:t xml:space="preserve">Conference Report to the </w:t>
      </w:r>
      <w:r>
        <w:rPr>
          <w:rFonts w:eastAsia="Cambria" w:cs="Times New Roman"/>
          <w:szCs w:val="24"/>
        </w:rPr>
        <w:t xml:space="preserve">Telecommunications Act of </w:t>
      </w:r>
      <w:r w:rsidRPr="00867768">
        <w:rPr>
          <w:rFonts w:eastAsia="Cambria" w:cs="Times New Roman"/>
          <w:szCs w:val="24"/>
        </w:rPr>
        <w:t>1996 explains</w:t>
      </w:r>
      <w:r>
        <w:rPr>
          <w:rFonts w:eastAsia="Cambria" w:cs="Times New Roman"/>
          <w:szCs w:val="24"/>
        </w:rPr>
        <w:t>,</w:t>
      </w:r>
      <w:r w:rsidRPr="00867768">
        <w:rPr>
          <w:rFonts w:eastAsia="Cambria" w:cs="Times New Roman"/>
          <w:szCs w:val="24"/>
        </w:rPr>
        <w:t xml:space="preserve"> Section 222 “strives to balance both competitive and consumer privacy</w:t>
      </w:r>
      <w:r>
        <w:rPr>
          <w:rFonts w:eastAsia="Cambria" w:cs="Times New Roman"/>
          <w:szCs w:val="24"/>
        </w:rPr>
        <w:t xml:space="preserve"> interests with respect to CPNI,”</w:t>
      </w:r>
      <w:r w:rsidRPr="00867768">
        <w:rPr>
          <w:rFonts w:eastAsia="Cambria" w:cs="Times New Roman"/>
          <w:szCs w:val="24"/>
          <w:vertAlign w:val="superscript"/>
        </w:rPr>
        <w:footnoteReference w:id="28"/>
      </w:r>
      <w:r>
        <w:rPr>
          <w:rFonts w:eastAsia="Cambria" w:cs="Times New Roman"/>
          <w:szCs w:val="24"/>
        </w:rPr>
        <w:t xml:space="preserve"> and Congress enacted Section 222(c)(3) based on competitive reasons, not privacy concerns.  </w:t>
      </w:r>
      <w:r w:rsidRPr="00867768">
        <w:rPr>
          <w:rFonts w:eastAsia="Cambria" w:cs="Times New Roman"/>
          <w:szCs w:val="24"/>
        </w:rPr>
        <w:t xml:space="preserve">Specifically, Congress determined that aggregate data comprised of non-individually identifiable </w:t>
      </w:r>
      <w:r>
        <w:rPr>
          <w:rFonts w:eastAsia="Cambria" w:cs="Times New Roman"/>
          <w:szCs w:val="24"/>
        </w:rPr>
        <w:t>customer information</w:t>
      </w:r>
      <w:r w:rsidRPr="00867768">
        <w:rPr>
          <w:rFonts w:eastAsia="Cambria" w:cs="Times New Roman"/>
          <w:szCs w:val="24"/>
        </w:rPr>
        <w:t xml:space="preserve"> could have competitive value, and required a subset of carriers</w:t>
      </w:r>
      <w:r>
        <w:rPr>
          <w:rFonts w:eastAsia="Cambria" w:cs="Times New Roman"/>
          <w:szCs w:val="24"/>
        </w:rPr>
        <w:t xml:space="preserve">—local exchange carriers—that </w:t>
      </w:r>
      <w:r w:rsidRPr="00867768">
        <w:rPr>
          <w:rFonts w:eastAsia="Cambria" w:cs="Times New Roman"/>
          <w:szCs w:val="24"/>
        </w:rPr>
        <w:t>use or disclose such data sets to provide them to others on a reasonable and non-discriminatory basis upon request.</w:t>
      </w:r>
      <w:r>
        <w:rPr>
          <w:rStyle w:val="FootnoteReference"/>
          <w:rFonts w:eastAsia="Cambria" w:cs="Times New Roman"/>
          <w:szCs w:val="24"/>
        </w:rPr>
        <w:footnoteReference w:id="29"/>
      </w:r>
      <w:r w:rsidRPr="00867768">
        <w:rPr>
          <w:rFonts w:eastAsia="Cambria" w:cs="Times New Roman"/>
          <w:szCs w:val="24"/>
        </w:rPr>
        <w:t xml:space="preserve">  </w:t>
      </w:r>
      <w:r>
        <w:rPr>
          <w:rFonts w:eastAsia="Cambria" w:cs="Times New Roman"/>
          <w:szCs w:val="24"/>
        </w:rPr>
        <w:t xml:space="preserve">Section 222(c)(3) expressly allows carriers to “use, disclose, or permit access to” aggregate customer information without any required customer consent.  </w:t>
      </w:r>
      <w:r w:rsidRPr="00867768">
        <w:rPr>
          <w:rFonts w:eastAsia="Cambria" w:cs="Times New Roman"/>
          <w:szCs w:val="24"/>
        </w:rPr>
        <w:t xml:space="preserve">Thus, the “aggregate customer information” provision clearly was not adopted to serve as a “yang” to the “individually identifiable” “yin,” but for a different purpose altogether.  </w:t>
      </w:r>
    </w:p>
    <w:p w:rsidR="009C5E9C" w:rsidRPr="009C5E9C" w:rsidRDefault="009C5E9C" w:rsidP="009C5E9C">
      <w:pPr>
        <w:pStyle w:val="BodyText2"/>
        <w:rPr>
          <w:rFonts w:eastAsia="Cambria" w:cs="Times New Roman"/>
          <w:szCs w:val="24"/>
        </w:rPr>
      </w:pPr>
      <w:r w:rsidRPr="00867768">
        <w:rPr>
          <w:rFonts w:eastAsia="Cambria" w:cs="Times New Roman"/>
          <w:szCs w:val="24"/>
        </w:rPr>
        <w:lastRenderedPageBreak/>
        <w:t xml:space="preserve">The existence of </w:t>
      </w:r>
      <w:r>
        <w:rPr>
          <w:rFonts w:eastAsia="Cambria" w:cs="Times New Roman"/>
          <w:szCs w:val="24"/>
        </w:rPr>
        <w:t>Section 222(c)(3)</w:t>
      </w:r>
      <w:r w:rsidRPr="00867768">
        <w:rPr>
          <w:rFonts w:eastAsia="Cambria" w:cs="Times New Roman"/>
          <w:szCs w:val="24"/>
        </w:rPr>
        <w:t xml:space="preserve"> </w:t>
      </w:r>
      <w:r>
        <w:rPr>
          <w:rFonts w:eastAsia="Cambria" w:cs="Times New Roman"/>
          <w:szCs w:val="24"/>
        </w:rPr>
        <w:t xml:space="preserve">thus </w:t>
      </w:r>
      <w:r w:rsidR="00530DAA">
        <w:rPr>
          <w:rFonts w:eastAsia="Cambria" w:cs="Times New Roman"/>
          <w:szCs w:val="24"/>
        </w:rPr>
        <w:t>demonstrates</w:t>
      </w:r>
      <w:r>
        <w:rPr>
          <w:rFonts w:eastAsia="Cambria" w:cs="Times New Roman"/>
          <w:szCs w:val="24"/>
        </w:rPr>
        <w:t xml:space="preserve"> that Congress did not have privacy concerns regarding customer information that is not individually identifiable.  It </w:t>
      </w:r>
      <w:r w:rsidR="00AF4E45">
        <w:rPr>
          <w:rFonts w:eastAsia="Cambria" w:cs="Times New Roman"/>
          <w:szCs w:val="24"/>
        </w:rPr>
        <w:t xml:space="preserve">further </w:t>
      </w:r>
      <w:r w:rsidR="00530DAA">
        <w:rPr>
          <w:rFonts w:eastAsia="Cambria" w:cs="Times New Roman"/>
          <w:szCs w:val="24"/>
        </w:rPr>
        <w:t xml:space="preserve">underscores </w:t>
      </w:r>
      <w:r>
        <w:rPr>
          <w:rFonts w:eastAsia="Cambria" w:cs="Times New Roman"/>
          <w:szCs w:val="24"/>
        </w:rPr>
        <w:t>th</w:t>
      </w:r>
      <w:r w:rsidR="00530DAA">
        <w:rPr>
          <w:rFonts w:eastAsia="Cambria" w:cs="Times New Roman"/>
          <w:szCs w:val="24"/>
        </w:rPr>
        <w:t>ere exists</w:t>
      </w:r>
      <w:r>
        <w:rPr>
          <w:rFonts w:eastAsia="Cambria" w:cs="Times New Roman"/>
          <w:szCs w:val="24"/>
        </w:rPr>
        <w:t xml:space="preserve"> a separate category of CPNI, non-individually identifiable CPNI</w:t>
      </w:r>
      <w:r w:rsidRPr="00867768">
        <w:rPr>
          <w:rFonts w:eastAsia="Cambria" w:cs="Times New Roman"/>
          <w:szCs w:val="24"/>
        </w:rPr>
        <w:t>.</w:t>
      </w:r>
      <w:r w:rsidR="00CF13AF">
        <w:rPr>
          <w:rFonts w:eastAsia="Cambria" w:cs="Times New Roman"/>
          <w:szCs w:val="24"/>
        </w:rPr>
        <w:t xml:space="preserve">  </w:t>
      </w:r>
    </w:p>
    <w:p w:rsidR="00065562" w:rsidRPr="00002674" w:rsidRDefault="00065562" w:rsidP="00002674">
      <w:pPr>
        <w:pStyle w:val="Heading1"/>
        <w:rPr>
          <w:rFonts w:eastAsia="Cambria"/>
        </w:rPr>
      </w:pPr>
      <w:bookmarkStart w:id="20" w:name="_Toc377735433"/>
      <w:r w:rsidRPr="00F93FB6">
        <w:rPr>
          <w:rFonts w:eastAsia="Cambria"/>
        </w:rPr>
        <w:t xml:space="preserve">De-Identified </w:t>
      </w:r>
      <w:r w:rsidR="00174965">
        <w:rPr>
          <w:rFonts w:eastAsia="Cambria"/>
        </w:rPr>
        <w:t>Customer Information</w:t>
      </w:r>
      <w:r w:rsidRPr="00F93FB6">
        <w:rPr>
          <w:rFonts w:eastAsia="Cambria"/>
        </w:rPr>
        <w:t>, By Definition, is Not “Individually Identifiable CPNI” Subject to Section 222(c)(1)</w:t>
      </w:r>
      <w:bookmarkEnd w:id="20"/>
      <w:r w:rsidRPr="00F93FB6">
        <w:rPr>
          <w:rFonts w:eastAsia="Cambria"/>
        </w:rPr>
        <w:t xml:space="preserve"> </w:t>
      </w:r>
    </w:p>
    <w:p w:rsidR="00456368" w:rsidRDefault="00065562" w:rsidP="00456368">
      <w:pPr>
        <w:pStyle w:val="BodyText2"/>
        <w:rPr>
          <w:rFonts w:eastAsia="Cambria" w:cs="Times New Roman"/>
          <w:szCs w:val="24"/>
        </w:rPr>
      </w:pPr>
      <w:r w:rsidRPr="00F93FB6">
        <w:rPr>
          <w:rFonts w:eastAsia="Cambria" w:cs="Times New Roman"/>
          <w:szCs w:val="24"/>
        </w:rPr>
        <w:t>Petitioners</w:t>
      </w:r>
      <w:r w:rsidR="0028338C">
        <w:rPr>
          <w:rFonts w:eastAsia="Cambria" w:cs="Times New Roman"/>
          <w:szCs w:val="24"/>
        </w:rPr>
        <w:t xml:space="preserve"> </w:t>
      </w:r>
      <w:r w:rsidRPr="00F93FB6">
        <w:rPr>
          <w:rFonts w:eastAsia="Cambria" w:cs="Times New Roman"/>
          <w:szCs w:val="24"/>
        </w:rPr>
        <w:t>argue, with no support, that “[i]ndividually</w:t>
      </w:r>
      <w:r w:rsidR="00455C0E" w:rsidRPr="00F93FB6">
        <w:rPr>
          <w:rFonts w:eastAsia="Cambria" w:cs="Times New Roman"/>
          <w:szCs w:val="24"/>
        </w:rPr>
        <w:t xml:space="preserve"> identifiable records need only </w:t>
      </w:r>
      <w:r w:rsidRPr="00F93FB6">
        <w:rPr>
          <w:rFonts w:eastAsia="Cambria" w:cs="Times New Roman"/>
          <w:szCs w:val="24"/>
        </w:rPr>
        <w:t>pertain to a single person, and that person’s identity need not be actually known.”</w:t>
      </w:r>
      <w:r w:rsidR="006030E8">
        <w:rPr>
          <w:rStyle w:val="FootnoteReference"/>
          <w:rFonts w:eastAsia="Cambria" w:cs="Times New Roman"/>
          <w:szCs w:val="24"/>
        </w:rPr>
        <w:footnoteReference w:id="30"/>
      </w:r>
      <w:r w:rsidRPr="00F93FB6">
        <w:rPr>
          <w:rFonts w:eastAsia="Cambria" w:cs="Times New Roman"/>
          <w:szCs w:val="24"/>
        </w:rPr>
        <w:t xml:space="preserve">  They claim a “signal from Congress that records that reference a single [customer] account are protected, even if the owner or user of the account is not personally identified.”</w:t>
      </w:r>
      <w:r w:rsidR="006030E8">
        <w:rPr>
          <w:rStyle w:val="FootnoteReference"/>
          <w:rFonts w:eastAsia="Cambria" w:cs="Times New Roman"/>
          <w:szCs w:val="24"/>
        </w:rPr>
        <w:footnoteReference w:id="31"/>
      </w:r>
      <w:r w:rsidRPr="00F93FB6">
        <w:rPr>
          <w:rFonts w:eastAsia="Cambria" w:cs="Times New Roman"/>
          <w:szCs w:val="24"/>
        </w:rPr>
        <w:t xml:space="preserve">  </w:t>
      </w:r>
      <w:r w:rsidR="00530DAA">
        <w:rPr>
          <w:rFonts w:eastAsia="Cambria" w:cs="Times New Roman"/>
          <w:szCs w:val="24"/>
        </w:rPr>
        <w:t xml:space="preserve">But they </w:t>
      </w:r>
      <w:r w:rsidR="00530DAA" w:rsidRPr="00530DAA">
        <w:rPr>
          <w:rFonts w:eastAsia="Cambria" w:cs="Times New Roman"/>
          <w:szCs w:val="24"/>
        </w:rPr>
        <w:t xml:space="preserve">cannot overcome the plain meaning of “individually identifiable”—information that must identify a particular person.  </w:t>
      </w:r>
      <w:r w:rsidRPr="00F93FB6">
        <w:rPr>
          <w:rFonts w:eastAsia="Cambria" w:cs="Times New Roman"/>
          <w:szCs w:val="24"/>
        </w:rPr>
        <w:t>Th</w:t>
      </w:r>
      <w:r w:rsidR="00530DAA">
        <w:rPr>
          <w:rFonts w:eastAsia="Cambria" w:cs="Times New Roman"/>
          <w:szCs w:val="24"/>
        </w:rPr>
        <w:t>eir</w:t>
      </w:r>
      <w:r w:rsidR="00174965">
        <w:rPr>
          <w:rFonts w:eastAsia="Cambria" w:cs="Times New Roman"/>
          <w:szCs w:val="24"/>
        </w:rPr>
        <w:t xml:space="preserve"> </w:t>
      </w:r>
      <w:r w:rsidR="0028338C">
        <w:rPr>
          <w:rFonts w:eastAsia="Cambria" w:cs="Times New Roman"/>
          <w:szCs w:val="24"/>
        </w:rPr>
        <w:t>interpretation defies logic and</w:t>
      </w:r>
      <w:r w:rsidRPr="00F93FB6">
        <w:rPr>
          <w:rFonts w:eastAsia="Cambria" w:cs="Times New Roman"/>
          <w:szCs w:val="24"/>
        </w:rPr>
        <w:t xml:space="preserve"> does not meet the overall intent of Section 222 to protect sensitive, individually identifiable information</w:t>
      </w:r>
      <w:r w:rsidR="0028338C">
        <w:rPr>
          <w:rFonts w:eastAsia="Cambria" w:cs="Times New Roman"/>
          <w:szCs w:val="24"/>
        </w:rPr>
        <w:t>.</w:t>
      </w:r>
    </w:p>
    <w:p w:rsidR="00065562" w:rsidRPr="00002674" w:rsidRDefault="00456368" w:rsidP="009C7C37">
      <w:pPr>
        <w:pStyle w:val="BodyText2"/>
        <w:rPr>
          <w:rFonts w:eastAsia="Cambria" w:cs="Times New Roman"/>
          <w:szCs w:val="24"/>
        </w:rPr>
      </w:pPr>
      <w:r>
        <w:rPr>
          <w:rFonts w:eastAsia="Cambria" w:cs="Times New Roman"/>
          <w:szCs w:val="24"/>
        </w:rPr>
        <w:t>In contrast, as the examples in Section IV</w:t>
      </w:r>
      <w:r w:rsidR="00530DAA">
        <w:rPr>
          <w:rFonts w:eastAsia="Cambria" w:cs="Times New Roman"/>
          <w:szCs w:val="24"/>
        </w:rPr>
        <w:t>.A.</w:t>
      </w:r>
      <w:r>
        <w:rPr>
          <w:rFonts w:eastAsia="Cambria" w:cs="Times New Roman"/>
          <w:szCs w:val="24"/>
        </w:rPr>
        <w:t xml:space="preserve"> above illustrate, “i</w:t>
      </w:r>
      <w:r w:rsidR="00065562" w:rsidRPr="00F93FB6">
        <w:rPr>
          <w:rFonts w:eastAsia="Cambria" w:cs="Times New Roman"/>
          <w:szCs w:val="24"/>
        </w:rPr>
        <w:t xml:space="preserve">ndividually identifiable” does not </w:t>
      </w:r>
      <w:r>
        <w:rPr>
          <w:rFonts w:eastAsia="Cambria" w:cs="Times New Roman"/>
          <w:szCs w:val="24"/>
        </w:rPr>
        <w:t>cover</w:t>
      </w:r>
      <w:r w:rsidR="00065562" w:rsidRPr="00F93FB6">
        <w:rPr>
          <w:rFonts w:eastAsia="Cambria" w:cs="Times New Roman"/>
          <w:szCs w:val="24"/>
        </w:rPr>
        <w:t xml:space="preserve"> </w:t>
      </w:r>
      <w:r>
        <w:rPr>
          <w:rFonts w:eastAsia="Cambria" w:cs="Times New Roman"/>
          <w:szCs w:val="24"/>
        </w:rPr>
        <w:t>information</w:t>
      </w:r>
      <w:r w:rsidR="00065562" w:rsidRPr="00F93FB6">
        <w:rPr>
          <w:rFonts w:eastAsia="Cambria" w:cs="Times New Roman"/>
          <w:szCs w:val="24"/>
        </w:rPr>
        <w:t xml:space="preserve"> conne</w:t>
      </w:r>
      <w:r w:rsidR="00455C0E" w:rsidRPr="00F93FB6">
        <w:rPr>
          <w:rFonts w:eastAsia="Cambria" w:cs="Times New Roman"/>
          <w:szCs w:val="24"/>
        </w:rPr>
        <w:t xml:space="preserve">cted to </w:t>
      </w:r>
      <w:r w:rsidR="00415CB9">
        <w:rPr>
          <w:rFonts w:eastAsia="Cambria" w:cs="Times New Roman"/>
          <w:szCs w:val="24"/>
        </w:rPr>
        <w:t>any</w:t>
      </w:r>
      <w:r w:rsidR="00455C0E" w:rsidRPr="00F93FB6">
        <w:rPr>
          <w:rFonts w:eastAsia="Cambria" w:cs="Times New Roman"/>
          <w:szCs w:val="24"/>
        </w:rPr>
        <w:t xml:space="preserve"> individual who </w:t>
      </w:r>
      <w:r w:rsidR="00065562" w:rsidRPr="00F93FB6">
        <w:rPr>
          <w:rFonts w:eastAsia="Cambria" w:cs="Times New Roman"/>
          <w:szCs w:val="24"/>
        </w:rPr>
        <w:t xml:space="preserve">is not identified.  By the plain meaning of the words, the term “individually identifiable” must mean CPNI that identifies a </w:t>
      </w:r>
      <w:r>
        <w:rPr>
          <w:rFonts w:eastAsia="Cambria" w:cs="Times New Roman"/>
          <w:szCs w:val="24"/>
        </w:rPr>
        <w:t>particular, named individual.  This is consistent with the d</w:t>
      </w:r>
      <w:r w:rsidR="00065562" w:rsidRPr="00F93FB6">
        <w:rPr>
          <w:rFonts w:eastAsia="Cambria" w:cs="Times New Roman"/>
          <w:szCs w:val="24"/>
        </w:rPr>
        <w:t>ictionary definition</w:t>
      </w:r>
      <w:r>
        <w:rPr>
          <w:rFonts w:eastAsia="Cambria" w:cs="Times New Roman"/>
          <w:szCs w:val="24"/>
        </w:rPr>
        <w:t xml:space="preserve"> of “identifiable”</w:t>
      </w:r>
      <w:r w:rsidR="00065562" w:rsidRPr="00F93FB6">
        <w:rPr>
          <w:rFonts w:eastAsia="Cambria" w:cs="Times New Roman"/>
          <w:szCs w:val="24"/>
        </w:rPr>
        <w:t xml:space="preserve">: “to recognize or establish as being </w:t>
      </w:r>
      <w:r w:rsidR="00065562" w:rsidRPr="00F93FB6">
        <w:rPr>
          <w:rFonts w:eastAsia="Cambria" w:cs="Times New Roman"/>
          <w:i/>
          <w:szCs w:val="24"/>
        </w:rPr>
        <w:t>a particular</w:t>
      </w:r>
      <w:r w:rsidR="00065562" w:rsidRPr="00F93FB6">
        <w:rPr>
          <w:rFonts w:eastAsia="Cambria" w:cs="Times New Roman"/>
          <w:szCs w:val="24"/>
        </w:rPr>
        <w:t xml:space="preserve"> person or thing; </w:t>
      </w:r>
      <w:r w:rsidR="00065562" w:rsidRPr="00F93FB6">
        <w:rPr>
          <w:rFonts w:eastAsia="Cambria" w:cs="Times New Roman"/>
          <w:i/>
          <w:szCs w:val="24"/>
        </w:rPr>
        <w:t>verify the identity of</w:t>
      </w:r>
      <w:r w:rsidR="00065562" w:rsidRPr="00F93FB6">
        <w:rPr>
          <w:rFonts w:eastAsia="Cambria" w:cs="Times New Roman"/>
          <w:szCs w:val="24"/>
        </w:rPr>
        <w:t>: to identify handwriting; to identify the bearer of a check.”</w:t>
      </w:r>
      <w:r w:rsidR="006030E8">
        <w:rPr>
          <w:rStyle w:val="FootnoteReference"/>
          <w:rFonts w:eastAsia="Cambria" w:cs="Times New Roman"/>
          <w:szCs w:val="24"/>
        </w:rPr>
        <w:footnoteReference w:id="32"/>
      </w:r>
      <w:r w:rsidR="00065562" w:rsidRPr="00F93FB6">
        <w:rPr>
          <w:rFonts w:eastAsia="Cambria" w:cs="Times New Roman"/>
          <w:szCs w:val="24"/>
        </w:rPr>
        <w:t xml:space="preserve">  In contrast, Petitioners’ interpretation reads the word “identifiable” right out of the statute; under their theory, “individually identifiable” does </w:t>
      </w:r>
      <w:r w:rsidR="00065562" w:rsidRPr="00F93FB6">
        <w:rPr>
          <w:rFonts w:eastAsia="Cambria" w:cs="Times New Roman"/>
          <w:szCs w:val="24"/>
        </w:rPr>
        <w:lastRenderedPageBreak/>
        <w:t>not require that the information actually identify a customer.</w:t>
      </w:r>
      <w:r w:rsidR="009C7C37">
        <w:rPr>
          <w:rFonts w:eastAsia="Cambria" w:cs="Times New Roman"/>
          <w:szCs w:val="24"/>
        </w:rPr>
        <w:t xml:space="preserve">  </w:t>
      </w:r>
      <w:r w:rsidR="009C7C37" w:rsidRPr="00867768">
        <w:rPr>
          <w:rFonts w:eastAsia="Cambria" w:cs="Times New Roman"/>
          <w:szCs w:val="24"/>
        </w:rPr>
        <w:t>But this is not a permissible reading of the statute.  Otherwise, the term “individually identifiable” in 222(c)(1) would be superfluous, a result inconsistent with the canon that all words of a statute should be given effect, where possible.</w:t>
      </w:r>
      <w:r w:rsidR="009C7C37" w:rsidRPr="00867768">
        <w:rPr>
          <w:rFonts w:eastAsia="Cambria" w:cs="Times New Roman"/>
          <w:szCs w:val="24"/>
          <w:vertAlign w:val="superscript"/>
        </w:rPr>
        <w:footnoteReference w:id="33"/>
      </w:r>
      <w:r w:rsidR="009C7C37" w:rsidRPr="00867768">
        <w:rPr>
          <w:rFonts w:eastAsia="Cambria" w:cs="Times New Roman"/>
          <w:szCs w:val="24"/>
        </w:rPr>
        <w:t xml:space="preserve">  </w:t>
      </w:r>
      <w:r w:rsidR="009C7C37">
        <w:rPr>
          <w:rFonts w:eastAsia="Cambria" w:cs="Times New Roman"/>
          <w:szCs w:val="24"/>
        </w:rPr>
        <w:t>For these reasons, “i</w:t>
      </w:r>
      <w:r w:rsidR="00065562" w:rsidRPr="00F93FB6">
        <w:rPr>
          <w:rFonts w:eastAsia="Cambria" w:cs="Times New Roman"/>
          <w:szCs w:val="24"/>
        </w:rPr>
        <w:t xml:space="preserve">ndividually identifiable” thus must mean only information that </w:t>
      </w:r>
      <w:r>
        <w:rPr>
          <w:rFonts w:eastAsia="Cambria" w:cs="Times New Roman"/>
          <w:szCs w:val="24"/>
        </w:rPr>
        <w:t>identifies</w:t>
      </w:r>
      <w:r w:rsidR="00065562" w:rsidRPr="00F93FB6">
        <w:rPr>
          <w:rFonts w:eastAsia="Cambria" w:cs="Times New Roman"/>
          <w:szCs w:val="24"/>
        </w:rPr>
        <w:t xml:space="preserve"> a particular person.  This </w:t>
      </w:r>
      <w:r w:rsidR="009C7C37">
        <w:rPr>
          <w:rFonts w:eastAsia="Cambria" w:cs="Times New Roman"/>
          <w:szCs w:val="24"/>
        </w:rPr>
        <w:t>interpretation</w:t>
      </w:r>
      <w:r w:rsidR="00065562" w:rsidRPr="00F93FB6">
        <w:rPr>
          <w:rFonts w:eastAsia="Cambria" w:cs="Times New Roman"/>
          <w:szCs w:val="24"/>
        </w:rPr>
        <w:t xml:space="preserve"> is fully consistent with the concept</w:t>
      </w:r>
      <w:r w:rsidR="00455C0E" w:rsidRPr="00F93FB6">
        <w:rPr>
          <w:rFonts w:eastAsia="Cambria" w:cs="Times New Roman"/>
          <w:szCs w:val="24"/>
        </w:rPr>
        <w:t xml:space="preserve"> that individually identifiable </w:t>
      </w:r>
      <w:r w:rsidR="00065562" w:rsidRPr="00F93FB6">
        <w:rPr>
          <w:rFonts w:eastAsia="Cambria" w:cs="Times New Roman"/>
          <w:szCs w:val="24"/>
        </w:rPr>
        <w:t>CPNI is information that is personal or sensitive to a particular individual.</w:t>
      </w:r>
    </w:p>
    <w:p w:rsidR="001C211E" w:rsidRPr="001C211E" w:rsidRDefault="00065562" w:rsidP="001C211E">
      <w:pPr>
        <w:pStyle w:val="Heading1"/>
        <w:rPr>
          <w:rFonts w:eastAsia="Cambria"/>
        </w:rPr>
      </w:pPr>
      <w:bookmarkStart w:id="21" w:name="_Toc377735434"/>
      <w:r w:rsidRPr="00F93FB6">
        <w:rPr>
          <w:rFonts w:eastAsia="Cambria"/>
        </w:rPr>
        <w:t xml:space="preserve">If the Commission </w:t>
      </w:r>
      <w:r w:rsidR="001C211E">
        <w:rPr>
          <w:rFonts w:eastAsia="Cambria"/>
        </w:rPr>
        <w:t>Nonetheless</w:t>
      </w:r>
      <w:r w:rsidRPr="00F93FB6">
        <w:rPr>
          <w:rFonts w:eastAsia="Cambria"/>
        </w:rPr>
        <w:t xml:space="preserve"> </w:t>
      </w:r>
      <w:r w:rsidR="001C211E">
        <w:rPr>
          <w:rFonts w:eastAsia="Cambria"/>
        </w:rPr>
        <w:t>Seeks to Place</w:t>
      </w:r>
      <w:r w:rsidRPr="00F93FB6">
        <w:rPr>
          <w:rFonts w:eastAsia="Cambria"/>
        </w:rPr>
        <w:t xml:space="preserve"> Non-Individually Identifiable </w:t>
      </w:r>
      <w:r w:rsidR="001C211E">
        <w:rPr>
          <w:rFonts w:eastAsia="Cambria"/>
        </w:rPr>
        <w:t xml:space="preserve">Customer Information in an Articulated Statutory </w:t>
      </w:r>
      <w:r w:rsidRPr="00F93FB6">
        <w:rPr>
          <w:rFonts w:eastAsia="Cambria"/>
        </w:rPr>
        <w:t xml:space="preserve">Category, </w:t>
      </w:r>
      <w:r w:rsidR="001C211E">
        <w:rPr>
          <w:rFonts w:eastAsia="Cambria"/>
        </w:rPr>
        <w:t>It is Necessarily</w:t>
      </w:r>
      <w:r w:rsidRPr="00F93FB6">
        <w:rPr>
          <w:rFonts w:eastAsia="Cambria"/>
        </w:rPr>
        <w:t xml:space="preserve"> “Aggregate Customer Information”</w:t>
      </w:r>
      <w:bookmarkEnd w:id="21"/>
    </w:p>
    <w:p w:rsidR="00E505DC" w:rsidRDefault="00E31574" w:rsidP="00533B36">
      <w:pPr>
        <w:pStyle w:val="BodyText2"/>
        <w:rPr>
          <w:rFonts w:eastAsia="Cambria" w:cs="Times New Roman"/>
          <w:szCs w:val="24"/>
        </w:rPr>
      </w:pPr>
      <w:r>
        <w:rPr>
          <w:rFonts w:eastAsia="Cambria" w:cs="Times New Roman"/>
          <w:szCs w:val="24"/>
        </w:rPr>
        <w:t>If</w:t>
      </w:r>
      <w:r w:rsidR="00585AC8">
        <w:rPr>
          <w:rFonts w:eastAsia="Cambria" w:cs="Times New Roman"/>
          <w:szCs w:val="24"/>
        </w:rPr>
        <w:t xml:space="preserve"> </w:t>
      </w:r>
      <w:r w:rsidR="00E505DC">
        <w:rPr>
          <w:rFonts w:eastAsia="Cambria" w:cs="Times New Roman"/>
          <w:szCs w:val="24"/>
        </w:rPr>
        <w:t>the Commission believes it must classify the de-identified information in one of the categories</w:t>
      </w:r>
      <w:r>
        <w:rPr>
          <w:rFonts w:eastAsia="Cambria" w:cs="Times New Roman"/>
          <w:szCs w:val="24"/>
        </w:rPr>
        <w:t xml:space="preserve"> expressly identified in the statute</w:t>
      </w:r>
      <w:r w:rsidR="00E505DC">
        <w:rPr>
          <w:rFonts w:eastAsia="Cambria" w:cs="Times New Roman"/>
          <w:szCs w:val="24"/>
        </w:rPr>
        <w:t xml:space="preserve">, the </w:t>
      </w:r>
      <w:r>
        <w:rPr>
          <w:rFonts w:eastAsia="Cambria" w:cs="Times New Roman"/>
          <w:szCs w:val="24"/>
        </w:rPr>
        <w:t>only permissible</w:t>
      </w:r>
      <w:r w:rsidR="00E505DC">
        <w:rPr>
          <w:rFonts w:eastAsia="Cambria" w:cs="Times New Roman"/>
          <w:szCs w:val="24"/>
        </w:rPr>
        <w:t xml:space="preserve"> choice is to conclude that it becomes “aggregate customer information.”</w:t>
      </w:r>
      <w:r w:rsidR="00585AC8">
        <w:rPr>
          <w:rFonts w:eastAsia="Cambria" w:cs="Times New Roman"/>
          <w:szCs w:val="24"/>
        </w:rPr>
        <w:t xml:space="preserve">  </w:t>
      </w:r>
      <w:r w:rsidR="00065562" w:rsidRPr="00F93FB6">
        <w:rPr>
          <w:rFonts w:eastAsia="Cambria" w:cs="Times New Roman"/>
          <w:szCs w:val="24"/>
        </w:rPr>
        <w:t>“Aggregate customer information” is defined in Section 222(h)(2) as “</w:t>
      </w:r>
      <w:r w:rsidR="00065562" w:rsidRPr="00EA7524">
        <w:rPr>
          <w:rFonts w:eastAsia="Cambria" w:cs="Times New Roman"/>
          <w:i/>
          <w:szCs w:val="24"/>
        </w:rPr>
        <w:t>collective data</w:t>
      </w:r>
      <w:r w:rsidR="00065562" w:rsidRPr="00F93FB6">
        <w:rPr>
          <w:rFonts w:eastAsia="Cambria" w:cs="Times New Roman"/>
          <w:szCs w:val="24"/>
        </w:rPr>
        <w:t xml:space="preserve"> that relates to a </w:t>
      </w:r>
      <w:r w:rsidR="00065562" w:rsidRPr="00EA7524">
        <w:rPr>
          <w:rFonts w:eastAsia="Cambria" w:cs="Times New Roman"/>
          <w:i/>
          <w:szCs w:val="24"/>
        </w:rPr>
        <w:t xml:space="preserve">group or </w:t>
      </w:r>
      <w:r w:rsidR="00065562" w:rsidRPr="00533B36">
        <w:rPr>
          <w:rFonts w:eastAsia="Cambria" w:cs="Times New Roman"/>
          <w:i/>
          <w:szCs w:val="24"/>
        </w:rPr>
        <w:t>category</w:t>
      </w:r>
      <w:r w:rsidR="00065562" w:rsidRPr="00EA7524">
        <w:rPr>
          <w:rFonts w:eastAsia="Cambria" w:cs="Times New Roman"/>
          <w:szCs w:val="24"/>
        </w:rPr>
        <w:t xml:space="preserve"> of services</w:t>
      </w:r>
      <w:r w:rsidR="00065562" w:rsidRPr="00533B36">
        <w:rPr>
          <w:rFonts w:eastAsia="Cambria" w:cs="Times New Roman"/>
          <w:szCs w:val="24"/>
        </w:rPr>
        <w:t xml:space="preserve"> </w:t>
      </w:r>
      <w:r w:rsidR="00065562" w:rsidRPr="00F93FB6">
        <w:rPr>
          <w:rFonts w:eastAsia="Cambria" w:cs="Times New Roman"/>
          <w:szCs w:val="24"/>
        </w:rPr>
        <w:t xml:space="preserve">or customers, </w:t>
      </w:r>
      <w:r w:rsidR="00065562" w:rsidRPr="00F93FB6">
        <w:rPr>
          <w:rFonts w:eastAsia="Cambria" w:cs="Times New Roman"/>
          <w:i/>
          <w:szCs w:val="24"/>
        </w:rPr>
        <w:t>from which individual customer identities and characteristics have been removed</w:t>
      </w:r>
      <w:r w:rsidR="00065562" w:rsidRPr="00F93FB6">
        <w:rPr>
          <w:rFonts w:eastAsia="Cambria" w:cs="Times New Roman"/>
          <w:szCs w:val="24"/>
        </w:rPr>
        <w:t>.”</w:t>
      </w:r>
      <w:r w:rsidR="006030E8">
        <w:rPr>
          <w:rStyle w:val="FootnoteReference"/>
          <w:rFonts w:eastAsia="Cambria" w:cs="Times New Roman"/>
          <w:szCs w:val="24"/>
        </w:rPr>
        <w:footnoteReference w:id="34"/>
      </w:r>
      <w:r w:rsidR="00065562" w:rsidRPr="00F93FB6">
        <w:rPr>
          <w:rFonts w:eastAsia="Cambria" w:cs="Times New Roman"/>
          <w:szCs w:val="24"/>
        </w:rPr>
        <w:t xml:space="preserve">  </w:t>
      </w:r>
      <w:r w:rsidR="00533B36">
        <w:rPr>
          <w:rFonts w:eastAsia="Cambria" w:cs="Times New Roman"/>
          <w:szCs w:val="24"/>
        </w:rPr>
        <w:t xml:space="preserve">  For example, it may include a list of collective data regarding multiple customers, stripped of sensitive information tied to any specific, individual customer.  </w:t>
      </w:r>
      <w:r w:rsidR="00065562" w:rsidRPr="00F93FB6">
        <w:rPr>
          <w:rFonts w:eastAsia="Cambria" w:cs="Times New Roman"/>
          <w:szCs w:val="24"/>
        </w:rPr>
        <w:t xml:space="preserve">So long as </w:t>
      </w:r>
      <w:r w:rsidR="00533B36">
        <w:rPr>
          <w:rFonts w:eastAsia="Cambria" w:cs="Times New Roman"/>
          <w:szCs w:val="24"/>
        </w:rPr>
        <w:t>the</w:t>
      </w:r>
      <w:r w:rsidR="00533B36" w:rsidRPr="00F93FB6">
        <w:rPr>
          <w:rFonts w:eastAsia="Cambria" w:cs="Times New Roman"/>
          <w:szCs w:val="24"/>
        </w:rPr>
        <w:t xml:space="preserve"> </w:t>
      </w:r>
      <w:r w:rsidR="00065562" w:rsidRPr="00F93FB6">
        <w:rPr>
          <w:rFonts w:eastAsia="Cambria" w:cs="Times New Roman"/>
          <w:szCs w:val="24"/>
        </w:rPr>
        <w:t>information</w:t>
      </w:r>
      <w:r w:rsidR="00533B36">
        <w:rPr>
          <w:rFonts w:eastAsia="Cambria" w:cs="Times New Roman"/>
          <w:szCs w:val="24"/>
        </w:rPr>
        <w:t xml:space="preserve"> in such list</w:t>
      </w:r>
      <w:r w:rsidR="00065562" w:rsidRPr="00F93FB6">
        <w:rPr>
          <w:rFonts w:eastAsia="Cambria" w:cs="Times New Roman"/>
          <w:szCs w:val="24"/>
        </w:rPr>
        <w:t xml:space="preserve"> is </w:t>
      </w:r>
      <w:r w:rsidR="00E505DC">
        <w:rPr>
          <w:rFonts w:eastAsia="Cambria" w:cs="Times New Roman"/>
          <w:szCs w:val="24"/>
        </w:rPr>
        <w:t>not associated with</w:t>
      </w:r>
      <w:r w:rsidR="00423192">
        <w:rPr>
          <w:rFonts w:eastAsia="Cambria" w:cs="Times New Roman"/>
          <w:szCs w:val="24"/>
        </w:rPr>
        <w:t xml:space="preserve"> the identity or characteristics of</w:t>
      </w:r>
      <w:r w:rsidR="00E505DC">
        <w:rPr>
          <w:rFonts w:eastAsia="Cambria" w:cs="Times New Roman"/>
          <w:szCs w:val="24"/>
        </w:rPr>
        <w:t xml:space="preserve"> a specific person</w:t>
      </w:r>
      <w:r w:rsidR="00533B36">
        <w:rPr>
          <w:rFonts w:eastAsia="Cambria" w:cs="Times New Roman"/>
          <w:szCs w:val="24"/>
        </w:rPr>
        <w:t xml:space="preserve"> (</w:t>
      </w:r>
      <w:r w:rsidR="00533B36" w:rsidRPr="00EA7524">
        <w:rPr>
          <w:rFonts w:eastAsia="Cambria" w:cs="Times New Roman"/>
          <w:i/>
          <w:szCs w:val="24"/>
        </w:rPr>
        <w:t>i.e.</w:t>
      </w:r>
      <w:r w:rsidR="00533B36">
        <w:rPr>
          <w:rFonts w:eastAsia="Cambria" w:cs="Times New Roman"/>
          <w:szCs w:val="24"/>
        </w:rPr>
        <w:t xml:space="preserve">, </w:t>
      </w:r>
      <w:r w:rsidR="00533B36" w:rsidRPr="00533B36">
        <w:rPr>
          <w:rFonts w:eastAsia="Cambria" w:cs="Times New Roman"/>
          <w:szCs w:val="24"/>
        </w:rPr>
        <w:t>“</w:t>
      </w:r>
      <w:r w:rsidR="00533B36" w:rsidRPr="00EA7524">
        <w:rPr>
          <w:rFonts w:eastAsia="Cambria" w:cs="Times New Roman"/>
          <w:szCs w:val="24"/>
        </w:rPr>
        <w:t>individual customer identities and characteristics have been removed”)</w:t>
      </w:r>
      <w:r w:rsidR="00E505DC">
        <w:rPr>
          <w:rFonts w:eastAsia="Cambria" w:cs="Times New Roman"/>
          <w:szCs w:val="24"/>
        </w:rPr>
        <w:t xml:space="preserve">, </w:t>
      </w:r>
      <w:r w:rsidR="00533B36">
        <w:rPr>
          <w:rFonts w:eastAsia="Cambria" w:cs="Times New Roman"/>
          <w:szCs w:val="24"/>
        </w:rPr>
        <w:t>the collective list of data</w:t>
      </w:r>
      <w:r w:rsidR="00065562" w:rsidRPr="00F93FB6">
        <w:rPr>
          <w:rFonts w:eastAsia="Cambria" w:cs="Times New Roman"/>
          <w:szCs w:val="24"/>
        </w:rPr>
        <w:t xml:space="preserve"> would be “aggregate customer information” under the law.</w:t>
      </w:r>
      <w:r w:rsidR="00E505DC">
        <w:rPr>
          <w:rFonts w:eastAsia="Cambria" w:cs="Times New Roman"/>
          <w:szCs w:val="24"/>
        </w:rPr>
        <w:t xml:space="preserve">  </w:t>
      </w:r>
    </w:p>
    <w:p w:rsidR="00065562" w:rsidRPr="00F93FB6" w:rsidRDefault="00E505DC" w:rsidP="00975FB6">
      <w:pPr>
        <w:pStyle w:val="BodyText2"/>
        <w:rPr>
          <w:rFonts w:eastAsia="Cambria" w:cs="Times New Roman"/>
          <w:szCs w:val="24"/>
        </w:rPr>
      </w:pPr>
      <w:r w:rsidRPr="00F93FB6">
        <w:rPr>
          <w:rFonts w:eastAsia="Cambria" w:cs="Times New Roman"/>
          <w:szCs w:val="24"/>
        </w:rPr>
        <w:lastRenderedPageBreak/>
        <w:t xml:space="preserve">The Commission lacks authority under Section 222 to apply the protections of 222(c)(1) to any CPNI beyond individually identifiable CPNI.  </w:t>
      </w:r>
      <w:r w:rsidR="006174D8">
        <w:rPr>
          <w:rFonts w:eastAsia="Cambria" w:cs="Times New Roman"/>
          <w:szCs w:val="24"/>
        </w:rPr>
        <w:t>Such expansive action has</w:t>
      </w:r>
      <w:r w:rsidR="006174D8">
        <w:rPr>
          <w:rFonts w:cs="Times New Roman"/>
          <w:szCs w:val="24"/>
        </w:rPr>
        <w:t xml:space="preserve"> no textual support in Congress’ limited delegation to the Commission of authority over privacy and </w:t>
      </w:r>
      <w:r w:rsidRPr="00F93FB6">
        <w:rPr>
          <w:rFonts w:eastAsia="Cambria" w:cs="Times New Roman"/>
          <w:szCs w:val="24"/>
        </w:rPr>
        <w:t>would amount to im</w:t>
      </w:r>
      <w:r w:rsidR="00975FB6">
        <w:rPr>
          <w:rFonts w:eastAsia="Cambria" w:cs="Times New Roman"/>
          <w:szCs w:val="24"/>
        </w:rPr>
        <w:t>permissible “enlargement” of Section 222</w:t>
      </w:r>
      <w:r w:rsidRPr="00F93FB6">
        <w:rPr>
          <w:rFonts w:eastAsia="Cambria" w:cs="Times New Roman"/>
          <w:szCs w:val="24"/>
        </w:rPr>
        <w:t>.</w:t>
      </w:r>
      <w:r>
        <w:rPr>
          <w:rStyle w:val="FootnoteReference"/>
          <w:rFonts w:eastAsia="Cambria" w:cs="Times New Roman"/>
          <w:szCs w:val="24"/>
        </w:rPr>
        <w:footnoteReference w:id="35"/>
      </w:r>
      <w:r w:rsidR="00975FB6">
        <w:rPr>
          <w:rFonts w:eastAsia="Cambria" w:cs="Times New Roman"/>
          <w:szCs w:val="24"/>
        </w:rPr>
        <w:t xml:space="preserve">  </w:t>
      </w:r>
      <w:r>
        <w:rPr>
          <w:rFonts w:eastAsia="Cambria" w:cs="Times New Roman"/>
          <w:szCs w:val="24"/>
        </w:rPr>
        <w:t xml:space="preserve">Thus, if the Commission determines that de-identified customer information must be either “individually identifiable” CPNI or “aggregate customer information,” it can only </w:t>
      </w:r>
      <w:r w:rsidR="00975FB6">
        <w:rPr>
          <w:rFonts w:eastAsia="Cambria" w:cs="Times New Roman"/>
          <w:szCs w:val="24"/>
        </w:rPr>
        <w:t xml:space="preserve">permissibly </w:t>
      </w:r>
      <w:r>
        <w:rPr>
          <w:rFonts w:eastAsia="Cambria" w:cs="Times New Roman"/>
          <w:szCs w:val="24"/>
        </w:rPr>
        <w:t xml:space="preserve">classify it as “aggregate customer information.”  </w:t>
      </w:r>
      <w:r w:rsidR="00065562" w:rsidRPr="00F93FB6">
        <w:rPr>
          <w:rFonts w:eastAsia="Cambria" w:cs="Times New Roman"/>
          <w:szCs w:val="24"/>
        </w:rPr>
        <w:t xml:space="preserve">  </w:t>
      </w:r>
    </w:p>
    <w:p w:rsidR="001C211E" w:rsidRPr="00002674" w:rsidRDefault="001C211E" w:rsidP="001C211E">
      <w:pPr>
        <w:pStyle w:val="Heading1"/>
        <w:rPr>
          <w:rFonts w:eastAsia="Cambria"/>
        </w:rPr>
      </w:pPr>
      <w:bookmarkStart w:id="22" w:name="_Toc377735435"/>
      <w:bookmarkStart w:id="23" w:name="_Toc377663248"/>
      <w:r w:rsidRPr="00F93FB6">
        <w:rPr>
          <w:rFonts w:eastAsia="Cambria"/>
        </w:rPr>
        <w:t xml:space="preserve">Petitioners’ Attempt to Expand the Definition of CPNI is Inconsistent With Other Federal Privacy Rules and </w:t>
      </w:r>
      <w:r>
        <w:rPr>
          <w:rFonts w:eastAsia="Cambria"/>
        </w:rPr>
        <w:t xml:space="preserve">the </w:t>
      </w:r>
      <w:r w:rsidRPr="00F93FB6">
        <w:rPr>
          <w:rFonts w:eastAsia="Cambria"/>
        </w:rPr>
        <w:t>Administration</w:t>
      </w:r>
      <w:r>
        <w:rPr>
          <w:rFonts w:eastAsia="Cambria"/>
        </w:rPr>
        <w:t>’s</w:t>
      </w:r>
      <w:r w:rsidRPr="00F93FB6">
        <w:rPr>
          <w:rFonts w:eastAsia="Cambria"/>
        </w:rPr>
        <w:t xml:space="preserve"> Consensus-Driven</w:t>
      </w:r>
      <w:r w:rsidR="00585AC8">
        <w:rPr>
          <w:rFonts w:eastAsia="Cambria"/>
        </w:rPr>
        <w:t xml:space="preserve"> Privacy I</w:t>
      </w:r>
      <w:r>
        <w:rPr>
          <w:rFonts w:eastAsia="Cambria"/>
        </w:rPr>
        <w:t>nitiative</w:t>
      </w:r>
      <w:bookmarkEnd w:id="22"/>
      <w:r w:rsidRPr="00F93FB6" w:rsidDel="00C66318">
        <w:rPr>
          <w:rFonts w:eastAsia="Cambria"/>
        </w:rPr>
        <w:t xml:space="preserve"> </w:t>
      </w:r>
      <w:bookmarkEnd w:id="23"/>
    </w:p>
    <w:p w:rsidR="00E31574" w:rsidRDefault="001C211E" w:rsidP="00585AC8">
      <w:pPr>
        <w:pStyle w:val="BodyText2"/>
        <w:rPr>
          <w:rFonts w:eastAsia="Cambria" w:cs="Times New Roman"/>
          <w:szCs w:val="24"/>
        </w:rPr>
      </w:pPr>
      <w:r w:rsidRPr="00C66318">
        <w:rPr>
          <w:rFonts w:eastAsia="Cambria" w:cs="Times New Roman"/>
          <w:szCs w:val="24"/>
        </w:rPr>
        <w:t>Any Commission action regarding CPNI must take into account the broader context of federal privacy laws and ongoing NTIA-led multi-stakeholder talks devoted to industry-wide privacy practices in an Internet era.</w:t>
      </w:r>
      <w:r w:rsidRPr="00C66318">
        <w:rPr>
          <w:rFonts w:eastAsia="Cambria" w:cs="Times New Roman"/>
          <w:szCs w:val="24"/>
          <w:vertAlign w:val="superscript"/>
        </w:rPr>
        <w:footnoteReference w:id="36"/>
      </w:r>
      <w:r w:rsidRPr="00C66318">
        <w:rPr>
          <w:rFonts w:eastAsia="Cambria" w:cs="Times New Roman"/>
          <w:szCs w:val="24"/>
        </w:rPr>
        <w:t xml:space="preserve">  The Commission has been clear that it welcomes other government and industry initiatives that complement the statutorily-mandated CPNI rules.</w:t>
      </w:r>
      <w:r w:rsidRPr="00C66318">
        <w:rPr>
          <w:rFonts w:eastAsia="Cambria" w:cs="Times New Roman"/>
          <w:szCs w:val="24"/>
          <w:vertAlign w:val="superscript"/>
        </w:rPr>
        <w:footnoteReference w:id="37"/>
      </w:r>
      <w:r w:rsidRPr="00C66318">
        <w:rPr>
          <w:rFonts w:eastAsia="Cambria" w:cs="Times New Roman"/>
          <w:szCs w:val="24"/>
        </w:rPr>
        <w:t xml:space="preserve">  While the Commission alone is vested with authority to implement Section 222, it can best meet its Congressional mandate by viewing CPNI in the context of consumer privacy policy writ large.  </w:t>
      </w:r>
    </w:p>
    <w:p w:rsidR="001C211E" w:rsidRPr="001C211E" w:rsidRDefault="001C211E" w:rsidP="001C211E">
      <w:pPr>
        <w:pStyle w:val="BodyText2"/>
        <w:rPr>
          <w:rFonts w:eastAsia="Cambria" w:cs="Times New Roman"/>
          <w:szCs w:val="24"/>
        </w:rPr>
      </w:pPr>
      <w:r>
        <w:rPr>
          <w:rFonts w:eastAsia="Cambria" w:cs="Times New Roman"/>
          <w:szCs w:val="24"/>
        </w:rPr>
        <w:t>Other</w:t>
      </w:r>
      <w:r w:rsidR="00156BC5">
        <w:rPr>
          <w:rFonts w:eastAsia="Cambria" w:cs="Times New Roman"/>
          <w:szCs w:val="24"/>
        </w:rPr>
        <w:t xml:space="preserve"> federal actions can provide useful context.  </w:t>
      </w:r>
      <w:r w:rsidRPr="001C211E">
        <w:rPr>
          <w:rFonts w:eastAsia="Cambria" w:cs="Times New Roman"/>
          <w:szCs w:val="24"/>
        </w:rPr>
        <w:t xml:space="preserve">For example, in implementing the privacy provisions of the Health Insurance Portability and Accountability Act of 1996 (“HIPAA”), the Department of Health and Human Services (“HHS”) was faced with a similar </w:t>
      </w:r>
      <w:r w:rsidRPr="001C211E">
        <w:rPr>
          <w:rFonts w:eastAsia="Cambria" w:cs="Times New Roman"/>
          <w:szCs w:val="24"/>
        </w:rPr>
        <w:lastRenderedPageBreak/>
        <w:t>statutory term involving “individually identifiable” information.  Although health information is among the most personal, sensitive information for any individual, HHS purposely chose not to define the term “individually identifiable” in a manner that completely eliminated a covered entity’s ability to share information tied to a random individual.  The agency concluded that it should not adopt a rigid definition that would “require covered entities to comply with the terms of this regulation with respect to information for which the probability of identification of the subject is very low.”</w:t>
      </w:r>
      <w:r w:rsidR="00E22916" w:rsidRPr="001C211E">
        <w:rPr>
          <w:rFonts w:eastAsia="Cambria" w:cs="Times New Roman"/>
          <w:szCs w:val="24"/>
          <w:vertAlign w:val="superscript"/>
        </w:rPr>
        <w:footnoteReference w:id="38"/>
      </w:r>
      <w:r w:rsidRPr="001C211E">
        <w:rPr>
          <w:rFonts w:eastAsia="Cambria" w:cs="Times New Roman"/>
          <w:szCs w:val="24"/>
        </w:rPr>
        <w:t xml:space="preserve"> Rather, it would be better to “encourage covered entities and others to remove obvious identifiers or encrypt them whenever possible[, and] use of the absolute definition of ‘identifiable’ would not promote this salutary result.”</w:t>
      </w:r>
      <w:r w:rsidRPr="001C211E">
        <w:rPr>
          <w:rFonts w:eastAsia="Cambria" w:cs="Times New Roman"/>
          <w:szCs w:val="24"/>
          <w:vertAlign w:val="superscript"/>
        </w:rPr>
        <w:footnoteReference w:id="39"/>
      </w:r>
      <w:r w:rsidRPr="001C211E">
        <w:rPr>
          <w:rFonts w:eastAsia="Cambria" w:cs="Times New Roman"/>
          <w:szCs w:val="24"/>
        </w:rPr>
        <w:t xml:space="preserve">  Similarly, the Commission should recognize the imbalanced approach sought by the Petition and reject it.</w:t>
      </w:r>
    </w:p>
    <w:p w:rsidR="00065562" w:rsidRPr="00002674" w:rsidRDefault="001C211E" w:rsidP="001C211E">
      <w:pPr>
        <w:pStyle w:val="BodyText2"/>
        <w:rPr>
          <w:rFonts w:eastAsia="Cambria" w:cs="Times New Roman"/>
          <w:szCs w:val="24"/>
        </w:rPr>
      </w:pPr>
      <w:r w:rsidRPr="001C211E">
        <w:rPr>
          <w:rFonts w:eastAsia="Cambria" w:cs="Times New Roman"/>
          <w:szCs w:val="24"/>
        </w:rPr>
        <w:t xml:space="preserve">As the White House Privacy Blueprint recognized, </w:t>
      </w:r>
      <w:r w:rsidR="00861294">
        <w:rPr>
          <w:rFonts w:eastAsia="Cambria" w:cs="Times New Roman"/>
          <w:szCs w:val="24"/>
        </w:rPr>
        <w:t xml:space="preserve">a voluntary, multistakeholder approach </w:t>
      </w:r>
      <w:r w:rsidRPr="001C211E">
        <w:rPr>
          <w:rFonts w:eastAsia="Cambria" w:cs="Times New Roman"/>
          <w:szCs w:val="24"/>
        </w:rPr>
        <w:t>can best respond to the consumer privacy needs of a changing technological environment.</w:t>
      </w:r>
      <w:r w:rsidRPr="001C211E">
        <w:rPr>
          <w:rFonts w:eastAsia="Cambria" w:cs="Times New Roman"/>
          <w:szCs w:val="24"/>
          <w:vertAlign w:val="superscript"/>
        </w:rPr>
        <w:footnoteReference w:id="40"/>
      </w:r>
      <w:r w:rsidRPr="001C211E">
        <w:rPr>
          <w:rFonts w:eastAsia="Cambria" w:cs="Times New Roman"/>
          <w:szCs w:val="24"/>
        </w:rPr>
        <w:t xml:space="preserve">  The NTIA process is intended to allow for deliberation, adoption, and evolution through consensus.</w:t>
      </w:r>
      <w:r w:rsidRPr="001C211E">
        <w:rPr>
          <w:rFonts w:eastAsia="Cambria" w:cs="Times New Roman"/>
          <w:szCs w:val="24"/>
          <w:vertAlign w:val="superscript"/>
        </w:rPr>
        <w:footnoteReference w:id="41"/>
      </w:r>
      <w:r w:rsidRPr="001C211E">
        <w:rPr>
          <w:rFonts w:eastAsia="Cambria" w:cs="Times New Roman"/>
          <w:szCs w:val="24"/>
        </w:rPr>
        <w:t xml:space="preserve">  If the Commission attempts to paint with too broad a CPNI brush, it risks interfering with a process the White House has said is </w:t>
      </w:r>
      <w:r w:rsidR="00E31574">
        <w:rPr>
          <w:rFonts w:eastAsia="Cambria" w:cs="Times New Roman"/>
          <w:szCs w:val="24"/>
        </w:rPr>
        <w:t xml:space="preserve">flexible, efficient, and </w:t>
      </w:r>
      <w:r w:rsidRPr="001C211E">
        <w:rPr>
          <w:rFonts w:eastAsia="Cambria" w:cs="Times New Roman"/>
          <w:szCs w:val="24"/>
        </w:rPr>
        <w:t xml:space="preserve">beneficial to consumers.  For example, CPNI that has been de-identified likely would no longer be considered personally identifiable information (“PII”) under general privacy law.  Yet Petitioners would have the FCC, in a vacuum, apply a unique, more onerous CPNI-based standard to such information simply because it is acquired by a carrier and the theoretical possibility exists that </w:t>
      </w:r>
      <w:r w:rsidRPr="001C211E">
        <w:rPr>
          <w:rFonts w:eastAsia="Cambria" w:cs="Times New Roman"/>
          <w:szCs w:val="24"/>
        </w:rPr>
        <w:lastRenderedPageBreak/>
        <w:t xml:space="preserve">de-identified information might be combined with third party data.  Such a result would unfairly disadvantage carriers and could disrupt the consensus approach the White House has promoted.  </w:t>
      </w:r>
    </w:p>
    <w:p w:rsidR="00065562" w:rsidRPr="00002674" w:rsidRDefault="00065562" w:rsidP="00065562">
      <w:pPr>
        <w:pStyle w:val="Heading1"/>
        <w:rPr>
          <w:rFonts w:eastAsia="Cambria"/>
        </w:rPr>
      </w:pPr>
      <w:bookmarkStart w:id="24" w:name="_Toc377735436"/>
      <w:r w:rsidRPr="00F93FB6">
        <w:rPr>
          <w:rFonts w:eastAsia="Cambria"/>
        </w:rPr>
        <w:t>Conclusion</w:t>
      </w:r>
      <w:bookmarkEnd w:id="24"/>
    </w:p>
    <w:p w:rsidR="00065562" w:rsidRPr="00002674" w:rsidRDefault="00002674" w:rsidP="00002674">
      <w:pPr>
        <w:pStyle w:val="BodyText2"/>
        <w:rPr>
          <w:rFonts w:eastAsia="Times New Roman" w:cs="Times New Roman"/>
          <w:szCs w:val="24"/>
        </w:rPr>
      </w:pPr>
      <w:r w:rsidRPr="00002674">
        <w:rPr>
          <w:rFonts w:eastAsia="Times New Roman" w:cs="Times New Roman"/>
          <w:szCs w:val="24"/>
        </w:rPr>
        <w:t xml:space="preserve">For the </w:t>
      </w:r>
      <w:r w:rsidRPr="00002674">
        <w:rPr>
          <w:rFonts w:eastAsia="Cambria" w:cs="Times New Roman"/>
          <w:szCs w:val="24"/>
        </w:rPr>
        <w:t>reasons</w:t>
      </w:r>
      <w:r w:rsidRPr="00002674">
        <w:rPr>
          <w:rFonts w:eastAsia="Times New Roman" w:cs="Times New Roman"/>
          <w:szCs w:val="24"/>
        </w:rPr>
        <w:t xml:space="preserve"> outlined above,</w:t>
      </w:r>
      <w:r>
        <w:rPr>
          <w:rFonts w:eastAsia="Times New Roman" w:cs="Times New Roman"/>
          <w:szCs w:val="24"/>
        </w:rPr>
        <w:t xml:space="preserve"> the Commission should dismiss or deny the Petition and continue to enforce any unlawful carrier disclosure of individually identifiable CPNI under its existing rules and policies.</w:t>
      </w:r>
    </w:p>
    <w:p w:rsidR="00C94D1E" w:rsidRPr="00F93FB6" w:rsidRDefault="00C94D1E" w:rsidP="00B74715">
      <w:pPr>
        <w:pStyle w:val="BodyText2"/>
        <w:rPr>
          <w:rFonts w:cs="Times New Roman"/>
          <w:szCs w:val="24"/>
        </w:rPr>
      </w:pPr>
    </w:p>
    <w:p w:rsidR="00B74715" w:rsidRPr="00F93FB6" w:rsidRDefault="00B74715" w:rsidP="00B74715">
      <w:pPr>
        <w:pStyle w:val="StyleLeft35"/>
        <w:rPr>
          <w:rFonts w:cs="Times New Roman"/>
          <w:szCs w:val="24"/>
        </w:rPr>
      </w:pPr>
      <w:r w:rsidRPr="00F93FB6">
        <w:rPr>
          <w:rFonts w:cs="Times New Roman"/>
          <w:szCs w:val="24"/>
        </w:rPr>
        <w:t>Respectfully submitted,</w:t>
      </w:r>
    </w:p>
    <w:p w:rsidR="00B74715" w:rsidRPr="00F93FB6" w:rsidRDefault="00B74715" w:rsidP="00B74715">
      <w:pPr>
        <w:rPr>
          <w:rFonts w:cs="Times New Roman"/>
          <w:szCs w:val="24"/>
        </w:rPr>
      </w:pPr>
    </w:p>
    <w:p w:rsidR="00B74715" w:rsidRPr="00002674" w:rsidRDefault="00431C4E" w:rsidP="00B74715">
      <w:pPr>
        <w:pStyle w:val="StyleAllcapsLeft35"/>
        <w:rPr>
          <w:rFonts w:cs="Times New Roman"/>
          <w:b/>
          <w:szCs w:val="24"/>
        </w:rPr>
      </w:pPr>
      <w:bookmarkStart w:id="25" w:name="TXTCLIENT1"/>
      <w:r w:rsidRPr="00002674">
        <w:rPr>
          <w:rFonts w:cs="Times New Roman"/>
          <w:b/>
          <w:szCs w:val="24"/>
        </w:rPr>
        <w:t>CTIA-The Wireless Association</w:t>
      </w:r>
    </w:p>
    <w:bookmarkEnd w:id="25"/>
    <w:p w:rsidR="00B74715" w:rsidRPr="00F93FB6" w:rsidRDefault="00B74715" w:rsidP="00B74715">
      <w:pPr>
        <w:rPr>
          <w:rFonts w:cs="Times New Roman"/>
          <w:szCs w:val="24"/>
        </w:rPr>
      </w:pPr>
    </w:p>
    <w:p w:rsidR="00B74715" w:rsidRPr="00F93FB6" w:rsidRDefault="00B74715" w:rsidP="00B74715">
      <w:pPr>
        <w:rPr>
          <w:rFonts w:cs="Times New Roman"/>
          <w:szCs w:val="24"/>
        </w:rPr>
      </w:pPr>
    </w:p>
    <w:p w:rsidR="00B74715" w:rsidRPr="00F93FB6" w:rsidRDefault="00B74715" w:rsidP="00B74715">
      <w:pPr>
        <w:rPr>
          <w:rFonts w:cs="Times New Roman"/>
          <w:szCs w:val="24"/>
        </w:rPr>
      </w:pPr>
    </w:p>
    <w:p w:rsidR="005B18F5" w:rsidRPr="00F93FB6" w:rsidRDefault="00B74715" w:rsidP="005B18F5">
      <w:pPr>
        <w:pStyle w:val="BodyText2"/>
        <w:keepNext/>
        <w:spacing w:line="240" w:lineRule="auto"/>
        <w:ind w:left="4320" w:firstLine="360"/>
        <w:rPr>
          <w:rFonts w:cs="Times New Roman"/>
          <w:szCs w:val="24"/>
        </w:rPr>
      </w:pPr>
      <w:r w:rsidRPr="00F93FB6">
        <w:rPr>
          <w:rFonts w:cs="Times New Roman"/>
          <w:szCs w:val="24"/>
        </w:rPr>
        <w:tab/>
      </w:r>
      <w:r w:rsidR="005B18F5" w:rsidRPr="00F93FB6">
        <w:rPr>
          <w:rFonts w:cs="Times New Roman"/>
          <w:szCs w:val="24"/>
        </w:rPr>
        <w:t>By:</w:t>
      </w:r>
      <w:r w:rsidR="005B18F5" w:rsidRPr="00F93FB6">
        <w:rPr>
          <w:rFonts w:cs="Times New Roman"/>
          <w:szCs w:val="24"/>
          <w:u w:val="single"/>
        </w:rPr>
        <w:t>        </w:t>
      </w:r>
      <w:r w:rsidR="005B18F5" w:rsidRPr="00E157EF">
        <w:rPr>
          <w:rFonts w:cs="Times New Roman"/>
          <w:i/>
          <w:szCs w:val="24"/>
          <w:u w:val="single"/>
        </w:rPr>
        <w:t xml:space="preserve">/s/ </w:t>
      </w:r>
      <w:r w:rsidR="007116D9" w:rsidRPr="00E157EF">
        <w:rPr>
          <w:rFonts w:cs="Times New Roman"/>
          <w:i/>
          <w:szCs w:val="24"/>
          <w:u w:val="single"/>
        </w:rPr>
        <w:t>Krista Witanowski</w:t>
      </w:r>
      <w:r w:rsidR="005B18F5" w:rsidRPr="00F93FB6">
        <w:rPr>
          <w:rFonts w:cs="Times New Roman"/>
          <w:szCs w:val="24"/>
          <w:u w:val="single"/>
        </w:rPr>
        <w:tab/>
      </w:r>
      <w:r w:rsidR="005B18F5" w:rsidRPr="00F93FB6">
        <w:rPr>
          <w:rFonts w:cs="Times New Roman"/>
          <w:szCs w:val="24"/>
          <w:u w:val="single"/>
        </w:rPr>
        <w:tab/>
      </w:r>
    </w:p>
    <w:p w:rsidR="00B74715" w:rsidRPr="00F93FB6" w:rsidRDefault="00B74715" w:rsidP="00B74715">
      <w:pPr>
        <w:pStyle w:val="StyleLeft35"/>
        <w:rPr>
          <w:rFonts w:cs="Times New Roman"/>
          <w:szCs w:val="24"/>
        </w:rPr>
      </w:pPr>
    </w:p>
    <w:p w:rsidR="00415CB9" w:rsidRPr="00CD7070" w:rsidRDefault="00415CB9" w:rsidP="00415CB9">
      <w:pPr>
        <w:pStyle w:val="StyleLeft35"/>
        <w:ind w:left="5400"/>
        <w:rPr>
          <w:rFonts w:cs="Times New Roman"/>
          <w:szCs w:val="24"/>
        </w:rPr>
      </w:pPr>
      <w:r w:rsidRPr="00CD7070">
        <w:rPr>
          <w:rFonts w:cs="Times New Roman"/>
          <w:szCs w:val="24"/>
        </w:rPr>
        <w:t>Krista Witanowski</w:t>
      </w:r>
    </w:p>
    <w:p w:rsidR="00415CB9" w:rsidRDefault="00415CB9" w:rsidP="00415CB9">
      <w:pPr>
        <w:pStyle w:val="StyleLeft35"/>
        <w:ind w:left="5400"/>
        <w:rPr>
          <w:rFonts w:cs="Times New Roman"/>
          <w:szCs w:val="24"/>
        </w:rPr>
      </w:pPr>
      <w:r w:rsidRPr="00F93FB6">
        <w:rPr>
          <w:rFonts w:cs="Times New Roman"/>
          <w:szCs w:val="24"/>
        </w:rPr>
        <w:t xml:space="preserve">Assistant Vice President, Regulatory Affairs </w:t>
      </w:r>
    </w:p>
    <w:p w:rsidR="00415CB9" w:rsidRDefault="00415CB9" w:rsidP="00CD7070">
      <w:pPr>
        <w:pStyle w:val="StyleLeft35"/>
        <w:ind w:left="5400"/>
        <w:rPr>
          <w:rFonts w:cs="Times New Roman"/>
          <w:szCs w:val="24"/>
        </w:rPr>
      </w:pPr>
    </w:p>
    <w:p w:rsidR="00CD7070" w:rsidRPr="00CD7070" w:rsidRDefault="00CD7070" w:rsidP="00CD7070">
      <w:pPr>
        <w:pStyle w:val="StyleLeft35"/>
        <w:ind w:left="5400"/>
        <w:rPr>
          <w:rFonts w:cs="Times New Roman"/>
          <w:szCs w:val="24"/>
        </w:rPr>
      </w:pPr>
      <w:r w:rsidRPr="00CD7070">
        <w:rPr>
          <w:rFonts w:cs="Times New Roman"/>
          <w:szCs w:val="24"/>
        </w:rPr>
        <w:t xml:space="preserve">Michael </w:t>
      </w:r>
      <w:r w:rsidR="00E22916">
        <w:rPr>
          <w:rFonts w:cs="Times New Roman"/>
          <w:szCs w:val="24"/>
        </w:rPr>
        <w:t xml:space="preserve">F. </w:t>
      </w:r>
      <w:r w:rsidRPr="00CD7070">
        <w:rPr>
          <w:rFonts w:cs="Times New Roman"/>
          <w:szCs w:val="24"/>
        </w:rPr>
        <w:t>Altschul</w:t>
      </w:r>
    </w:p>
    <w:p w:rsidR="00CD7070" w:rsidRPr="00F93FB6" w:rsidRDefault="00CD7070" w:rsidP="00CD7070">
      <w:pPr>
        <w:pStyle w:val="StyleLeft35"/>
        <w:ind w:left="5400"/>
        <w:rPr>
          <w:rFonts w:cs="Times New Roman"/>
          <w:szCs w:val="24"/>
        </w:rPr>
      </w:pPr>
      <w:r>
        <w:rPr>
          <w:rFonts w:cs="Times New Roman"/>
          <w:szCs w:val="24"/>
        </w:rPr>
        <w:t xml:space="preserve">Senior </w:t>
      </w:r>
      <w:r w:rsidRPr="00F93FB6">
        <w:rPr>
          <w:rFonts w:cs="Times New Roman"/>
          <w:szCs w:val="24"/>
        </w:rPr>
        <w:t>Vice President and General Counsel</w:t>
      </w:r>
    </w:p>
    <w:p w:rsidR="00CD7070" w:rsidRDefault="00CD7070" w:rsidP="00CD7070">
      <w:pPr>
        <w:pStyle w:val="StyleLeft35"/>
        <w:ind w:left="5400"/>
        <w:rPr>
          <w:rFonts w:cs="Times New Roman"/>
          <w:b/>
          <w:szCs w:val="24"/>
        </w:rPr>
      </w:pPr>
    </w:p>
    <w:p w:rsidR="00CD7070" w:rsidRDefault="007116D9" w:rsidP="00CD7070">
      <w:pPr>
        <w:pStyle w:val="StyleLeft35"/>
        <w:ind w:left="5400"/>
        <w:rPr>
          <w:rFonts w:cs="Times New Roman"/>
          <w:szCs w:val="24"/>
        </w:rPr>
      </w:pPr>
      <w:r>
        <w:rPr>
          <w:rFonts w:cs="Times New Roman"/>
          <w:szCs w:val="24"/>
        </w:rPr>
        <w:t>Scott K. Bergmann</w:t>
      </w:r>
    </w:p>
    <w:p w:rsidR="00CD7070" w:rsidRDefault="00CD7070" w:rsidP="00CD7070">
      <w:pPr>
        <w:pStyle w:val="StyleLeft35"/>
        <w:ind w:left="5400"/>
        <w:rPr>
          <w:rFonts w:cs="Times New Roman"/>
          <w:szCs w:val="24"/>
        </w:rPr>
      </w:pPr>
      <w:r>
        <w:rPr>
          <w:rFonts w:cs="Times New Roman"/>
          <w:szCs w:val="24"/>
        </w:rPr>
        <w:t>Vice President, Regulatory Affairs</w:t>
      </w:r>
    </w:p>
    <w:p w:rsidR="00CD7070" w:rsidRDefault="00CD7070" w:rsidP="00CD7070">
      <w:pPr>
        <w:pStyle w:val="StyleLeft35"/>
        <w:ind w:left="5400"/>
        <w:rPr>
          <w:rFonts w:cs="Times New Roman"/>
          <w:szCs w:val="24"/>
        </w:rPr>
      </w:pPr>
    </w:p>
    <w:p w:rsidR="00CD7070" w:rsidRPr="00CD7070" w:rsidRDefault="00CD7070" w:rsidP="00CD7070">
      <w:pPr>
        <w:pStyle w:val="StyleLeft35"/>
        <w:ind w:left="5400"/>
        <w:rPr>
          <w:rFonts w:cs="Times New Roman"/>
          <w:szCs w:val="24"/>
        </w:rPr>
      </w:pPr>
      <w:r w:rsidRPr="00CD7070">
        <w:rPr>
          <w:rFonts w:cs="Times New Roman"/>
          <w:szCs w:val="24"/>
        </w:rPr>
        <w:t>Debbie Matties</w:t>
      </w:r>
    </w:p>
    <w:p w:rsidR="00CD7070" w:rsidRPr="00F93FB6" w:rsidRDefault="00CD7070" w:rsidP="00CD7070">
      <w:pPr>
        <w:pStyle w:val="StyleLeft35"/>
        <w:ind w:left="5400"/>
        <w:rPr>
          <w:rFonts w:cs="Times New Roman"/>
          <w:szCs w:val="24"/>
        </w:rPr>
      </w:pPr>
      <w:r w:rsidRPr="00F93FB6">
        <w:rPr>
          <w:rFonts w:cs="Times New Roman"/>
          <w:szCs w:val="24"/>
        </w:rPr>
        <w:t>Vice President, Privacy</w:t>
      </w:r>
    </w:p>
    <w:p w:rsidR="00CD7070" w:rsidRDefault="00CD7070" w:rsidP="00CD7070">
      <w:pPr>
        <w:pStyle w:val="StyleLeft35"/>
        <w:ind w:left="5400"/>
        <w:rPr>
          <w:rFonts w:cs="Times New Roman"/>
          <w:b/>
          <w:szCs w:val="24"/>
        </w:rPr>
      </w:pPr>
    </w:p>
    <w:p w:rsidR="00CD7070" w:rsidRDefault="00CD7070" w:rsidP="00CD7070">
      <w:pPr>
        <w:pStyle w:val="StyleLeft35"/>
        <w:ind w:left="5400"/>
        <w:rPr>
          <w:rFonts w:cs="Times New Roman"/>
          <w:szCs w:val="24"/>
        </w:rPr>
      </w:pPr>
    </w:p>
    <w:p w:rsidR="00CD7070" w:rsidRPr="00F93FB6" w:rsidRDefault="00CD7070" w:rsidP="00CD7070">
      <w:pPr>
        <w:pStyle w:val="StyleLeft35"/>
        <w:ind w:left="5400"/>
        <w:rPr>
          <w:rFonts w:cs="Times New Roman"/>
          <w:szCs w:val="24"/>
        </w:rPr>
      </w:pPr>
      <w:r>
        <w:rPr>
          <w:rFonts w:cs="Times New Roman"/>
          <w:szCs w:val="24"/>
        </w:rPr>
        <w:t xml:space="preserve">CTIA – The </w:t>
      </w:r>
      <w:r w:rsidRPr="00F93FB6">
        <w:rPr>
          <w:rFonts w:cs="Times New Roman"/>
          <w:szCs w:val="24"/>
        </w:rPr>
        <w:t>Wireless Association</w:t>
      </w:r>
      <w:r>
        <w:rPr>
          <w:rFonts w:cs="Times New Roman"/>
          <w:szCs w:val="24"/>
        </w:rPr>
        <w:t>®</w:t>
      </w:r>
      <w:r w:rsidRPr="00F93FB6">
        <w:rPr>
          <w:rFonts w:cs="Times New Roman"/>
          <w:szCs w:val="24"/>
        </w:rPr>
        <w:br/>
        <w:t>1400 16th St NW</w:t>
      </w:r>
    </w:p>
    <w:p w:rsidR="00CD7070" w:rsidRPr="00F93FB6" w:rsidRDefault="00CD7070" w:rsidP="00CD7070">
      <w:pPr>
        <w:pStyle w:val="StyleLeft35"/>
        <w:ind w:left="5400"/>
        <w:rPr>
          <w:rFonts w:cs="Times New Roman"/>
          <w:szCs w:val="24"/>
        </w:rPr>
      </w:pPr>
      <w:r w:rsidRPr="00F93FB6">
        <w:rPr>
          <w:rFonts w:cs="Times New Roman"/>
          <w:szCs w:val="24"/>
        </w:rPr>
        <w:t>Suite 600</w:t>
      </w:r>
    </w:p>
    <w:p w:rsidR="00CD7070" w:rsidRPr="00F93FB6" w:rsidRDefault="00CD7070" w:rsidP="00CD7070">
      <w:pPr>
        <w:pStyle w:val="StyleLeft35"/>
        <w:ind w:left="5400"/>
        <w:rPr>
          <w:rFonts w:cs="Times New Roman"/>
          <w:szCs w:val="24"/>
        </w:rPr>
      </w:pPr>
      <w:r w:rsidRPr="00F93FB6">
        <w:rPr>
          <w:rFonts w:cs="Times New Roman"/>
          <w:szCs w:val="24"/>
        </w:rPr>
        <w:t>Washington, DC  20036</w:t>
      </w:r>
    </w:p>
    <w:p w:rsidR="00AE7131" w:rsidRPr="00F93FB6" w:rsidRDefault="00CD7070" w:rsidP="00CD7070">
      <w:pPr>
        <w:pStyle w:val="StyleLeft35"/>
        <w:ind w:left="5400"/>
        <w:rPr>
          <w:rFonts w:cs="Times New Roman"/>
          <w:szCs w:val="24"/>
        </w:rPr>
      </w:pPr>
      <w:r w:rsidRPr="00F93FB6">
        <w:rPr>
          <w:rFonts w:cs="Times New Roman"/>
          <w:szCs w:val="24"/>
        </w:rPr>
        <w:t>(202) 736-32</w:t>
      </w:r>
      <w:r>
        <w:rPr>
          <w:rFonts w:cs="Times New Roman"/>
          <w:szCs w:val="24"/>
        </w:rPr>
        <w:t>00</w:t>
      </w:r>
    </w:p>
    <w:p w:rsidR="00AE7131" w:rsidRPr="00F93FB6" w:rsidRDefault="00AE7131" w:rsidP="005B18F5">
      <w:pPr>
        <w:pStyle w:val="StyleLeft35"/>
        <w:ind w:firstLine="360"/>
        <w:rPr>
          <w:rFonts w:cs="Times New Roman"/>
          <w:szCs w:val="24"/>
        </w:rPr>
      </w:pPr>
    </w:p>
    <w:p w:rsidR="00B74715" w:rsidRPr="00F93FB6" w:rsidRDefault="00B74715" w:rsidP="00B74715">
      <w:pPr>
        <w:rPr>
          <w:rFonts w:cs="Times New Roman"/>
          <w:szCs w:val="24"/>
        </w:rPr>
      </w:pPr>
    </w:p>
    <w:p w:rsidR="00DF199F" w:rsidRDefault="00CD7070" w:rsidP="00A72675">
      <w:pPr>
        <w:rPr>
          <w:rFonts w:cs="Times New Roman"/>
          <w:szCs w:val="24"/>
        </w:rPr>
      </w:pPr>
      <w:bookmarkStart w:id="26" w:name="FilingDate1"/>
      <w:r>
        <w:rPr>
          <w:rFonts w:cs="Times New Roman"/>
          <w:szCs w:val="24"/>
        </w:rPr>
        <w:t xml:space="preserve">Dated:  </w:t>
      </w:r>
      <w:r w:rsidR="00455C0E" w:rsidRPr="00F93FB6">
        <w:rPr>
          <w:rFonts w:cs="Times New Roman"/>
          <w:szCs w:val="24"/>
        </w:rPr>
        <w:t xml:space="preserve">January 17, </w:t>
      </w:r>
      <w:r w:rsidR="00431C4E" w:rsidRPr="00F93FB6">
        <w:rPr>
          <w:rFonts w:cs="Times New Roman"/>
          <w:szCs w:val="24"/>
        </w:rPr>
        <w:t>2014</w:t>
      </w:r>
      <w:bookmarkEnd w:id="26"/>
    </w:p>
    <w:sectPr w:rsidR="00DF199F" w:rsidSect="00B74715">
      <w:headerReference w:type="default" r:id="rId9"/>
      <w:footerReference w:type="default" r:id="rId10"/>
      <w:footerReference w:type="first" r:id="rId11"/>
      <w:pgSz w:w="12240" w:h="15840"/>
      <w:pgMar w:top="1440" w:right="1440" w:bottom="1440" w:left="1440" w:header="864"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46E" w:rsidRDefault="002B546E" w:rsidP="00A36642">
      <w:r>
        <w:separator/>
      </w:r>
    </w:p>
  </w:endnote>
  <w:endnote w:type="continuationSeparator" w:id="0">
    <w:p w:rsidR="002B546E" w:rsidRDefault="002B546E" w:rsidP="00A366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E1" w:rsidRPr="005A7690" w:rsidRDefault="000A7CE1" w:rsidP="00B72F05">
    <w:pPr>
      <w:pStyle w:val="Header"/>
      <w:jc w:val="center"/>
    </w:pPr>
    <w:r>
      <w:t xml:space="preserve">– </w:t>
    </w:r>
    <w:r w:rsidR="007312EA">
      <w:fldChar w:fldCharType="begin"/>
    </w:r>
    <w:r>
      <w:instrText xml:space="preserve"> PAGE   \* MERGEFORMAT </w:instrText>
    </w:r>
    <w:r w:rsidR="007312EA">
      <w:fldChar w:fldCharType="separate"/>
    </w:r>
    <w:r>
      <w:rPr>
        <w:noProof/>
      </w:rPr>
      <w:t>2</w:t>
    </w:r>
    <w:r w:rsidR="007312EA">
      <w:rPr>
        <w:noProof/>
      </w:rPr>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E1" w:rsidRPr="005A7690" w:rsidRDefault="000A7CE1" w:rsidP="00B72F05">
    <w:pPr>
      <w:pStyle w:val="Header"/>
      <w:jc w:val="center"/>
    </w:pPr>
    <w:r>
      <w:t xml:space="preserve">– </w:t>
    </w:r>
    <w:r w:rsidR="007312EA">
      <w:fldChar w:fldCharType="begin"/>
    </w:r>
    <w:r>
      <w:instrText xml:space="preserve"> PAGE   \* MERGEFORMAT </w:instrText>
    </w:r>
    <w:r w:rsidR="007312EA">
      <w:fldChar w:fldCharType="separate"/>
    </w:r>
    <w:r w:rsidR="00C614ED">
      <w:rPr>
        <w:noProof/>
      </w:rPr>
      <w:t>2</w:t>
    </w:r>
    <w:r w:rsidR="007312EA">
      <w:rPr>
        <w:noProof/>
      </w:rPr>
      <w:fldChar w:fldCharType="end"/>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E1" w:rsidRDefault="000A7C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46E" w:rsidRDefault="002B546E" w:rsidP="00A36642">
      <w:r>
        <w:separator/>
      </w:r>
    </w:p>
  </w:footnote>
  <w:footnote w:type="continuationSeparator" w:id="0">
    <w:p w:rsidR="002B546E" w:rsidRDefault="002B546E" w:rsidP="00A36642">
      <w:r>
        <w:continuationSeparator/>
      </w:r>
    </w:p>
  </w:footnote>
  <w:footnote w:id="1">
    <w:p w:rsidR="00697A27" w:rsidRDefault="00697A27">
      <w:pPr>
        <w:pStyle w:val="FootnoteText"/>
      </w:pPr>
      <w:r>
        <w:rPr>
          <w:rStyle w:val="FootnoteReference"/>
        </w:rPr>
        <w:footnoteRef/>
      </w:r>
      <w:r>
        <w:t xml:space="preserve"> </w:t>
      </w:r>
      <w:r w:rsidRPr="00697A27">
        <w:t>CTIA – The Wireless Association® is the international organization of the wireless communications industry for both wireless carriers and manufacturers.  Membership in the organization includes Commercial Mobile Radio Service (“CMRS”) providers and manufacturers, including cellular, Advanced Wireless Service, 700 MHz, broadband PCS, and ESMR, as well as providers and manufacturers of wireless data services and products.</w:t>
      </w:r>
    </w:p>
  </w:footnote>
  <w:footnote w:id="2">
    <w:p w:rsidR="000A7CE1" w:rsidRPr="0085462C" w:rsidRDefault="000A7CE1" w:rsidP="002E3B6F">
      <w:pPr>
        <w:pStyle w:val="FootnoteText"/>
        <w:spacing w:before="120" w:after="120"/>
        <w:rPr>
          <w:szCs w:val="24"/>
        </w:rPr>
      </w:pPr>
      <w:r w:rsidRPr="0085462C">
        <w:rPr>
          <w:rStyle w:val="FootnoteReference"/>
          <w:szCs w:val="24"/>
        </w:rPr>
        <w:footnoteRef/>
      </w:r>
      <w:r w:rsidRPr="0085462C">
        <w:rPr>
          <w:szCs w:val="24"/>
        </w:rPr>
        <w:t xml:space="preserve"> Petition of Public Knowledge et al. for Declaratory Ruling Stating that the Sale of Non-Aggregate Call Records by Telecommunications Providers Without Customers’ Consent Violates Section 222</w:t>
      </w:r>
      <w:r w:rsidR="003D75BD">
        <w:rPr>
          <w:szCs w:val="24"/>
        </w:rPr>
        <w:t xml:space="preserve">, </w:t>
      </w:r>
      <w:r w:rsidR="003D75BD" w:rsidRPr="00F93FB6">
        <w:rPr>
          <w:rFonts w:cs="Times New Roman"/>
          <w:szCs w:val="24"/>
        </w:rPr>
        <w:t>WC Docket No. 13-306</w:t>
      </w:r>
      <w:r w:rsidRPr="0085462C">
        <w:rPr>
          <w:szCs w:val="24"/>
        </w:rPr>
        <w:t xml:space="preserve"> (filed Dec. 11, 2013) (“Petition”); Wireline Competition Bureau Seeks Comment on Petition of Public Knowledge for Declaratory Ruling </w:t>
      </w:r>
      <w:r w:rsidR="002E3B6F">
        <w:rPr>
          <w:szCs w:val="24"/>
        </w:rPr>
        <w:t>t</w:t>
      </w:r>
      <w:r w:rsidR="002E3B6F" w:rsidRPr="002E3B6F">
        <w:rPr>
          <w:szCs w:val="24"/>
        </w:rPr>
        <w:t xml:space="preserve">hat Section 222 </w:t>
      </w:r>
      <w:r w:rsidR="002E3B6F">
        <w:rPr>
          <w:szCs w:val="24"/>
        </w:rPr>
        <w:t>o</w:t>
      </w:r>
      <w:r w:rsidR="002E3B6F" w:rsidRPr="002E3B6F">
        <w:rPr>
          <w:szCs w:val="24"/>
        </w:rPr>
        <w:t xml:space="preserve">f </w:t>
      </w:r>
      <w:r w:rsidR="002E3B6F">
        <w:rPr>
          <w:szCs w:val="24"/>
        </w:rPr>
        <w:t>t</w:t>
      </w:r>
      <w:r w:rsidR="002E3B6F" w:rsidRPr="002E3B6F">
        <w:rPr>
          <w:szCs w:val="24"/>
        </w:rPr>
        <w:t>he</w:t>
      </w:r>
      <w:r w:rsidR="002E3B6F">
        <w:rPr>
          <w:szCs w:val="24"/>
        </w:rPr>
        <w:t xml:space="preserve"> </w:t>
      </w:r>
      <w:r w:rsidR="002E3B6F" w:rsidRPr="002E3B6F">
        <w:rPr>
          <w:szCs w:val="24"/>
        </w:rPr>
        <w:t xml:space="preserve">Communications Act Prohibits Telecommunications Providers </w:t>
      </w:r>
      <w:r w:rsidR="002E3B6F">
        <w:rPr>
          <w:szCs w:val="24"/>
        </w:rPr>
        <w:t>f</w:t>
      </w:r>
      <w:r w:rsidR="002E3B6F" w:rsidRPr="002E3B6F">
        <w:rPr>
          <w:szCs w:val="24"/>
        </w:rPr>
        <w:t>rom</w:t>
      </w:r>
      <w:r w:rsidR="002E3B6F">
        <w:rPr>
          <w:szCs w:val="24"/>
        </w:rPr>
        <w:t xml:space="preserve"> </w:t>
      </w:r>
      <w:r w:rsidR="002E3B6F" w:rsidRPr="002E3B6F">
        <w:rPr>
          <w:szCs w:val="24"/>
        </w:rPr>
        <w:t>Selling Non-Aggregate Call Records Without Customers’ Consent</w:t>
      </w:r>
      <w:r w:rsidRPr="0085462C">
        <w:rPr>
          <w:szCs w:val="24"/>
        </w:rPr>
        <w:t xml:space="preserve">, </w:t>
      </w:r>
      <w:r w:rsidR="002E3B6F">
        <w:rPr>
          <w:szCs w:val="24"/>
        </w:rPr>
        <w:t>DA 13-2415</w:t>
      </w:r>
      <w:r w:rsidRPr="0085462C">
        <w:rPr>
          <w:szCs w:val="24"/>
        </w:rPr>
        <w:t xml:space="preserve">, </w:t>
      </w:r>
      <w:r w:rsidRPr="0085462C">
        <w:rPr>
          <w:i/>
          <w:szCs w:val="24"/>
        </w:rPr>
        <w:t>Public Notice</w:t>
      </w:r>
      <w:r w:rsidRPr="0085462C">
        <w:rPr>
          <w:szCs w:val="24"/>
        </w:rPr>
        <w:t xml:space="preserve"> (WCB Dec. 18, 2013).</w:t>
      </w:r>
    </w:p>
  </w:footnote>
  <w:footnote w:id="3">
    <w:p w:rsidR="007B29B3" w:rsidRPr="00684C06" w:rsidRDefault="007B29B3" w:rsidP="00684C06">
      <w:pPr>
        <w:rPr>
          <w:rFonts w:eastAsia="Times New Roman" w:cs="Times New Roman"/>
          <w:color w:val="333333"/>
          <w:szCs w:val="24"/>
        </w:rPr>
      </w:pPr>
      <w:r w:rsidRPr="0085462C">
        <w:rPr>
          <w:rStyle w:val="FootnoteReference"/>
          <w:szCs w:val="24"/>
        </w:rPr>
        <w:footnoteRef/>
      </w:r>
      <w:r w:rsidRPr="0085462C">
        <w:rPr>
          <w:szCs w:val="24"/>
        </w:rPr>
        <w:t xml:space="preserve"> </w:t>
      </w:r>
      <w:r w:rsidR="00684C06" w:rsidRPr="00EC7C3F">
        <w:rPr>
          <w:rFonts w:eastAsia="Times New Roman" w:cs="Times New Roman"/>
          <w:i/>
          <w:color w:val="333333"/>
          <w:szCs w:val="24"/>
        </w:rPr>
        <w:t>Implementation of the</w:t>
      </w:r>
      <w:r w:rsidR="00684C06" w:rsidRPr="00684C06">
        <w:rPr>
          <w:rFonts w:eastAsia="Times New Roman" w:cs="Times New Roman"/>
          <w:i/>
          <w:color w:val="333333"/>
          <w:szCs w:val="24"/>
        </w:rPr>
        <w:t xml:space="preserve"> Telecommunications Act of 1996: </w:t>
      </w:r>
      <w:r w:rsidR="00684C06" w:rsidRPr="00EC7C3F">
        <w:rPr>
          <w:rFonts w:eastAsia="Times New Roman" w:cs="Times New Roman"/>
          <w:i/>
          <w:color w:val="333333"/>
          <w:szCs w:val="24"/>
        </w:rPr>
        <w:t xml:space="preserve"> T</w:t>
      </w:r>
      <w:r w:rsidR="00684C06" w:rsidRPr="00684C06">
        <w:rPr>
          <w:rFonts w:eastAsia="Times New Roman" w:cs="Times New Roman"/>
          <w:i/>
          <w:color w:val="333333"/>
          <w:szCs w:val="24"/>
        </w:rPr>
        <w:t xml:space="preserve">elecommunications Carriers’ Use </w:t>
      </w:r>
      <w:r w:rsidR="00684C06" w:rsidRPr="00EC7C3F">
        <w:rPr>
          <w:rFonts w:eastAsia="Times New Roman" w:cs="Times New Roman"/>
          <w:i/>
          <w:color w:val="333333"/>
          <w:szCs w:val="24"/>
        </w:rPr>
        <w:t>of Customer Proprietary Network Information and Other Customer Information</w:t>
      </w:r>
      <w:r w:rsidR="00684C06">
        <w:rPr>
          <w:rFonts w:eastAsia="Times New Roman" w:cs="Times New Roman"/>
          <w:color w:val="333333"/>
          <w:szCs w:val="24"/>
        </w:rPr>
        <w:t xml:space="preserve">, Second Report and Order and Further Notice of Proposed Rulemaking, 13 FCC </w:t>
      </w:r>
      <w:r w:rsidR="00684C06" w:rsidRPr="00684C06">
        <w:rPr>
          <w:rFonts w:eastAsia="Times New Roman" w:cs="Times New Roman"/>
          <w:color w:val="333333"/>
          <w:szCs w:val="24"/>
        </w:rPr>
        <w:t xml:space="preserve">Rcd 8061, </w:t>
      </w:r>
      <w:r w:rsidRPr="00684C06">
        <w:rPr>
          <w:szCs w:val="24"/>
        </w:rPr>
        <w:t>8064</w:t>
      </w:r>
      <w:r w:rsidR="00684C06" w:rsidRPr="00684C06">
        <w:rPr>
          <w:szCs w:val="24"/>
        </w:rPr>
        <w:t xml:space="preserve"> (1998)</w:t>
      </w:r>
      <w:r w:rsidRPr="00684C06">
        <w:rPr>
          <w:szCs w:val="24"/>
        </w:rPr>
        <w:t>.</w:t>
      </w:r>
    </w:p>
  </w:footnote>
  <w:footnote w:id="4">
    <w:p w:rsidR="000A7CE1" w:rsidRPr="0085462C" w:rsidRDefault="000A7CE1" w:rsidP="0085462C">
      <w:pPr>
        <w:pStyle w:val="FootnoteText"/>
        <w:spacing w:before="120" w:after="120"/>
        <w:rPr>
          <w:szCs w:val="24"/>
        </w:rPr>
      </w:pPr>
      <w:r w:rsidRPr="0085462C">
        <w:rPr>
          <w:rStyle w:val="FootnoteReference"/>
          <w:szCs w:val="24"/>
        </w:rPr>
        <w:footnoteRef/>
      </w:r>
      <w:r w:rsidRPr="0085462C">
        <w:rPr>
          <w:szCs w:val="24"/>
        </w:rPr>
        <w:t xml:space="preserve"> CTIA’s Consumer Code for Wireless Service</w:t>
      </w:r>
      <w:r w:rsidR="002E3B6F">
        <w:rPr>
          <w:szCs w:val="24"/>
        </w:rPr>
        <w:t xml:space="preserve"> (2011)</w:t>
      </w:r>
      <w:r w:rsidRPr="0085462C">
        <w:rPr>
          <w:szCs w:val="24"/>
        </w:rPr>
        <w:t xml:space="preserve">, </w:t>
      </w:r>
      <w:hyperlink r:id="rId1" w:history="1">
        <w:r w:rsidRPr="0085462C">
          <w:rPr>
            <w:rStyle w:val="Hyperlink"/>
            <w:szCs w:val="24"/>
          </w:rPr>
          <w:t>http://files.ctia.org/pdf/The_Code.pdf</w:t>
        </w:r>
      </w:hyperlink>
      <w:r w:rsidRPr="0085462C">
        <w:rPr>
          <w:szCs w:val="24"/>
        </w:rPr>
        <w:t xml:space="preserve">, includes a provision for each signatory carrier to abide by a specific set of practices for the protection of customer privacy, including complying with applicable federal and state law, and making available to the public its privacy policy regarding information collected online.  </w:t>
      </w:r>
      <w:r w:rsidR="002E3B6F">
        <w:rPr>
          <w:i/>
          <w:szCs w:val="24"/>
        </w:rPr>
        <w:t>Id.</w:t>
      </w:r>
      <w:r w:rsidR="002E3B6F">
        <w:rPr>
          <w:szCs w:val="24"/>
        </w:rPr>
        <w:t xml:space="preserve"> at Provision 10.  </w:t>
      </w:r>
      <w:r w:rsidRPr="0085462C">
        <w:rPr>
          <w:szCs w:val="24"/>
        </w:rPr>
        <w:t>The FCC has recognized the Consumer Code by incorporating compliance with its requirements as a predicate for wireless carriers seeking designation as Eligible Telecommunications Carriers under the Universal Service Fund.</w:t>
      </w:r>
    </w:p>
  </w:footnote>
  <w:footnote w:id="5">
    <w:p w:rsidR="000A7CE1" w:rsidRPr="0085462C" w:rsidRDefault="000A7CE1" w:rsidP="0085462C">
      <w:pPr>
        <w:pStyle w:val="FootnoteText"/>
        <w:spacing w:before="120" w:after="120"/>
        <w:rPr>
          <w:szCs w:val="24"/>
        </w:rPr>
      </w:pPr>
      <w:r w:rsidRPr="0085462C">
        <w:rPr>
          <w:rStyle w:val="FootnoteReference"/>
          <w:szCs w:val="24"/>
        </w:rPr>
        <w:footnoteRef/>
      </w:r>
      <w:r w:rsidRPr="0085462C">
        <w:rPr>
          <w:szCs w:val="24"/>
        </w:rPr>
        <w:t xml:space="preserve"> The CTIA Best Practices for Location-Based Services</w:t>
      </w:r>
      <w:r w:rsidR="002E3B6F">
        <w:rPr>
          <w:szCs w:val="24"/>
        </w:rPr>
        <w:t xml:space="preserve"> (Mar. 23, 2010)</w:t>
      </w:r>
      <w:r w:rsidRPr="0085462C">
        <w:rPr>
          <w:szCs w:val="24"/>
        </w:rPr>
        <w:t xml:space="preserve">, </w:t>
      </w:r>
      <w:hyperlink r:id="rId2" w:history="1">
        <w:r w:rsidR="002E3B6F" w:rsidRPr="00371B19">
          <w:rPr>
            <w:rStyle w:val="Hyperlink"/>
            <w:szCs w:val="24"/>
          </w:rPr>
          <w:t>http://files.ctia.org/pdf/CTIA_LBS_Best_Practices_Adopted_03_10.pdf</w:t>
        </w:r>
      </w:hyperlink>
      <w:r w:rsidRPr="0085462C">
        <w:rPr>
          <w:szCs w:val="24"/>
        </w:rPr>
        <w:t xml:space="preserve">, are applicable to all LBS providers (application developers, equipment providers, as well as wireless carriers), are technology-neutral, implement the notice and consent structure utilized by the FTC in its Fair Information Practice Principles, and include other safeguards.  Examples of LBS provider policies that demonstrate these Best Practices are posted on the CTIA website. </w:t>
      </w:r>
    </w:p>
  </w:footnote>
  <w:footnote w:id="6">
    <w:p w:rsidR="000A7CE1" w:rsidRPr="0085462C" w:rsidRDefault="000A7CE1" w:rsidP="0085462C">
      <w:pPr>
        <w:pStyle w:val="FootnoteText"/>
        <w:spacing w:before="120" w:after="120"/>
        <w:rPr>
          <w:szCs w:val="24"/>
        </w:rPr>
      </w:pPr>
      <w:r w:rsidRPr="0085462C">
        <w:rPr>
          <w:rStyle w:val="FootnoteReference"/>
          <w:szCs w:val="24"/>
        </w:rPr>
        <w:footnoteRef/>
      </w:r>
      <w:r w:rsidRPr="0085462C">
        <w:rPr>
          <w:szCs w:val="24"/>
        </w:rPr>
        <w:t xml:space="preserve"> </w:t>
      </w:r>
      <w:r w:rsidRPr="0085462C">
        <w:rPr>
          <w:i/>
          <w:szCs w:val="24"/>
        </w:rPr>
        <w:t>See, e.g.</w:t>
      </w:r>
      <w:r w:rsidRPr="0085462C">
        <w:rPr>
          <w:szCs w:val="24"/>
        </w:rPr>
        <w:t>, Letter from Michael F. Altschul, Senior Vice President and General Counsel, CTIA, to NTIA, Multistakeholder Process to Develop Consumer Data Privacy Codes of Conduct, Docket No. 120214135-2135-01 (Apr. 2, 2012).</w:t>
      </w:r>
    </w:p>
  </w:footnote>
  <w:footnote w:id="7">
    <w:p w:rsidR="003F3375" w:rsidRPr="0085462C" w:rsidRDefault="003F3375" w:rsidP="003F3375">
      <w:pPr>
        <w:pStyle w:val="FootnoteText"/>
        <w:spacing w:before="120" w:after="120"/>
        <w:rPr>
          <w:szCs w:val="24"/>
        </w:rPr>
      </w:pPr>
      <w:r w:rsidRPr="0085462C">
        <w:rPr>
          <w:rStyle w:val="FootnoteReference"/>
          <w:szCs w:val="24"/>
        </w:rPr>
        <w:footnoteRef/>
      </w:r>
      <w:r w:rsidRPr="0085462C">
        <w:rPr>
          <w:szCs w:val="24"/>
        </w:rPr>
        <w:t xml:space="preserve"> </w:t>
      </w:r>
      <w:r w:rsidRPr="00684C06">
        <w:rPr>
          <w:szCs w:val="24"/>
        </w:rPr>
        <w:t xml:space="preserve">As the Commission has recognized, </w:t>
      </w:r>
      <w:r w:rsidRPr="00684C06">
        <w:rPr>
          <w:rFonts w:eastAsia="Cambria" w:cs="Times New Roman"/>
          <w:szCs w:val="24"/>
        </w:rPr>
        <w:t xml:space="preserve">“if the information … does not meet the statutory definition, then Section 222 will not apply; only … information that meets the definition of CPNI is subject to Section 222.”  </w:t>
      </w:r>
      <w:r w:rsidR="00684C06" w:rsidRPr="0085462C">
        <w:rPr>
          <w:i/>
          <w:szCs w:val="24"/>
        </w:rPr>
        <w:t>Implementation of the Telecommunications Act of 1996:  Telecommunications Carriers’ Use of Customer Proprietary Network Information and Other Customer Information</w:t>
      </w:r>
      <w:r w:rsidR="00684C06" w:rsidRPr="0085462C">
        <w:rPr>
          <w:szCs w:val="24"/>
        </w:rPr>
        <w:t>, Declaratory Ruling, 28 FCC Rcd 9609</w:t>
      </w:r>
      <w:r w:rsidR="00684C06">
        <w:rPr>
          <w:szCs w:val="24"/>
        </w:rPr>
        <w:t xml:space="preserve">, </w:t>
      </w:r>
      <w:r w:rsidR="003D75BD">
        <w:rPr>
          <w:szCs w:val="24"/>
        </w:rPr>
        <w:t>9617</w:t>
      </w:r>
      <w:r w:rsidR="003D75BD" w:rsidRPr="0085462C">
        <w:rPr>
          <w:szCs w:val="24"/>
        </w:rPr>
        <w:t xml:space="preserve"> </w:t>
      </w:r>
      <w:r w:rsidR="00684C06" w:rsidRPr="0085462C">
        <w:rPr>
          <w:szCs w:val="24"/>
        </w:rPr>
        <w:t>(2013) (“</w:t>
      </w:r>
      <w:r w:rsidR="00684C06" w:rsidRPr="0085462C">
        <w:rPr>
          <w:i/>
          <w:szCs w:val="24"/>
        </w:rPr>
        <w:t>2013 CPNI Mobile Device Declaratory Ruling</w:t>
      </w:r>
      <w:r w:rsidR="00684C06" w:rsidRPr="0085462C">
        <w:rPr>
          <w:szCs w:val="24"/>
        </w:rPr>
        <w:t xml:space="preserve">”).  </w:t>
      </w:r>
    </w:p>
  </w:footnote>
  <w:footnote w:id="8">
    <w:p w:rsidR="000A7CE1" w:rsidRPr="0085462C" w:rsidRDefault="000A7CE1" w:rsidP="0085462C">
      <w:pPr>
        <w:pStyle w:val="FootnoteText"/>
        <w:spacing w:before="120" w:after="120"/>
        <w:rPr>
          <w:szCs w:val="24"/>
        </w:rPr>
      </w:pPr>
      <w:r w:rsidRPr="0085462C">
        <w:rPr>
          <w:rStyle w:val="FootnoteReference"/>
          <w:szCs w:val="24"/>
        </w:rPr>
        <w:footnoteRef/>
      </w:r>
      <w:r w:rsidRPr="0085462C">
        <w:rPr>
          <w:szCs w:val="24"/>
        </w:rPr>
        <w:t xml:space="preserve"> 47 C.F.R. </w:t>
      </w:r>
      <w:r w:rsidRPr="0085462C">
        <w:rPr>
          <w:rFonts w:cs="Times New Roman"/>
          <w:szCs w:val="24"/>
        </w:rPr>
        <w:t>§</w:t>
      </w:r>
      <w:r w:rsidRPr="0085462C">
        <w:rPr>
          <w:szCs w:val="24"/>
        </w:rPr>
        <w:t xml:space="preserve"> 1.2.</w:t>
      </w:r>
    </w:p>
  </w:footnote>
  <w:footnote w:id="9">
    <w:p w:rsidR="000A7CE1" w:rsidRPr="0085462C" w:rsidRDefault="000A7CE1" w:rsidP="0085462C">
      <w:pPr>
        <w:pStyle w:val="FootnoteText"/>
        <w:spacing w:before="120" w:after="120"/>
        <w:rPr>
          <w:szCs w:val="24"/>
        </w:rPr>
      </w:pPr>
      <w:r w:rsidRPr="0085462C">
        <w:rPr>
          <w:rStyle w:val="FootnoteReference"/>
          <w:szCs w:val="24"/>
        </w:rPr>
        <w:footnoteRef/>
      </w:r>
      <w:r w:rsidRPr="0085462C">
        <w:rPr>
          <w:szCs w:val="24"/>
        </w:rPr>
        <w:t xml:space="preserve"> </w:t>
      </w:r>
      <w:r w:rsidRPr="0085462C">
        <w:rPr>
          <w:rFonts w:eastAsia="Cambria" w:cs="Times New Roman"/>
          <w:i/>
          <w:szCs w:val="24"/>
        </w:rPr>
        <w:t>Rocking M Radio, Inc.</w:t>
      </w:r>
      <w:r w:rsidRPr="0085462C">
        <w:rPr>
          <w:rFonts w:eastAsia="Cambria" w:cs="Times New Roman"/>
          <w:szCs w:val="24"/>
        </w:rPr>
        <w:t>, 25 FCC Rcd 1322</w:t>
      </w:r>
      <w:r w:rsidR="003D75BD">
        <w:rPr>
          <w:rFonts w:eastAsia="Cambria" w:cs="Times New Roman"/>
          <w:szCs w:val="24"/>
        </w:rPr>
        <w:t>, 1332</w:t>
      </w:r>
      <w:r w:rsidRPr="0085462C">
        <w:rPr>
          <w:rFonts w:eastAsia="Cambria" w:cs="Times New Roman"/>
          <w:szCs w:val="24"/>
        </w:rPr>
        <w:t xml:space="preserve"> (MB Audio Div. 2010), citing </w:t>
      </w:r>
      <w:r w:rsidRPr="0085462C">
        <w:rPr>
          <w:rFonts w:eastAsia="Cambria" w:cs="Times New Roman"/>
          <w:i/>
          <w:szCs w:val="24"/>
        </w:rPr>
        <w:t>Yale Broadcasting Co. v. FCC</w:t>
      </w:r>
      <w:r w:rsidRPr="0085462C">
        <w:rPr>
          <w:rFonts w:eastAsia="Cambria" w:cs="Times New Roman"/>
          <w:szCs w:val="24"/>
        </w:rPr>
        <w:t>, 478 F.2d 594, 602 (1973).</w:t>
      </w:r>
    </w:p>
  </w:footnote>
  <w:footnote w:id="10">
    <w:p w:rsidR="000A7CE1" w:rsidRPr="0085462C" w:rsidRDefault="000A7CE1" w:rsidP="0085462C">
      <w:pPr>
        <w:pStyle w:val="FootnoteText"/>
        <w:spacing w:before="120" w:after="120"/>
        <w:rPr>
          <w:szCs w:val="24"/>
        </w:rPr>
      </w:pPr>
      <w:r w:rsidRPr="0085462C">
        <w:rPr>
          <w:rStyle w:val="FootnoteReference"/>
          <w:szCs w:val="24"/>
        </w:rPr>
        <w:footnoteRef/>
      </w:r>
      <w:r w:rsidRPr="0085462C">
        <w:rPr>
          <w:szCs w:val="24"/>
        </w:rPr>
        <w:t xml:space="preserve"> Petition at </w:t>
      </w:r>
      <w:r w:rsidR="00176398" w:rsidRPr="0085462C">
        <w:rPr>
          <w:szCs w:val="24"/>
        </w:rPr>
        <w:t>3, 6-8</w:t>
      </w:r>
      <w:r w:rsidRPr="0085462C">
        <w:rPr>
          <w:szCs w:val="24"/>
        </w:rPr>
        <w:t>.</w:t>
      </w:r>
    </w:p>
  </w:footnote>
  <w:footnote w:id="11">
    <w:p w:rsidR="000A7CE1" w:rsidRPr="0085462C" w:rsidRDefault="000A7CE1" w:rsidP="0085462C">
      <w:pPr>
        <w:pStyle w:val="FootnoteText"/>
        <w:spacing w:before="120" w:after="120"/>
        <w:rPr>
          <w:szCs w:val="24"/>
        </w:rPr>
      </w:pPr>
      <w:r w:rsidRPr="0085462C">
        <w:rPr>
          <w:rStyle w:val="FootnoteReference"/>
          <w:szCs w:val="24"/>
        </w:rPr>
        <w:footnoteRef/>
      </w:r>
      <w:r w:rsidRPr="0085462C">
        <w:rPr>
          <w:szCs w:val="24"/>
        </w:rPr>
        <w:t xml:space="preserve"> </w:t>
      </w:r>
      <w:r w:rsidR="00176398" w:rsidRPr="0085462C">
        <w:rPr>
          <w:i/>
          <w:szCs w:val="24"/>
        </w:rPr>
        <w:t xml:space="preserve">See </w:t>
      </w:r>
      <w:r w:rsidRPr="0085462C">
        <w:rPr>
          <w:i/>
          <w:szCs w:val="24"/>
        </w:rPr>
        <w:t>Request by Cellular Telecommunications and Internet Association to Commence Rulemaking to Establish Fair Location Information Practices</w:t>
      </w:r>
      <w:r w:rsidRPr="0085462C">
        <w:rPr>
          <w:szCs w:val="24"/>
        </w:rPr>
        <w:t xml:space="preserve">, </w:t>
      </w:r>
      <w:r w:rsidR="00176398" w:rsidRPr="0085462C">
        <w:rPr>
          <w:szCs w:val="24"/>
        </w:rPr>
        <w:t>Order, 17 FCC Rcd 14832</w:t>
      </w:r>
      <w:r w:rsidRPr="0085462C">
        <w:rPr>
          <w:szCs w:val="24"/>
        </w:rPr>
        <w:t xml:space="preserve"> (2002).</w:t>
      </w:r>
    </w:p>
  </w:footnote>
  <w:footnote w:id="12">
    <w:p w:rsidR="000A7CE1" w:rsidRPr="0085462C" w:rsidRDefault="000A7CE1" w:rsidP="0085462C">
      <w:pPr>
        <w:pStyle w:val="FootnoteText"/>
        <w:spacing w:before="120" w:after="120"/>
        <w:rPr>
          <w:szCs w:val="24"/>
        </w:rPr>
      </w:pPr>
      <w:r w:rsidRPr="0085462C">
        <w:rPr>
          <w:rStyle w:val="FootnoteReference"/>
          <w:szCs w:val="24"/>
        </w:rPr>
        <w:footnoteRef/>
      </w:r>
      <w:r w:rsidRPr="0085462C">
        <w:rPr>
          <w:szCs w:val="24"/>
        </w:rPr>
        <w:t xml:space="preserve"> </w:t>
      </w:r>
      <w:r w:rsidRPr="0085462C">
        <w:rPr>
          <w:i/>
          <w:szCs w:val="24"/>
        </w:rPr>
        <w:t>Id.</w:t>
      </w:r>
      <w:r w:rsidRPr="0085462C">
        <w:rPr>
          <w:szCs w:val="24"/>
        </w:rPr>
        <w:t xml:space="preserve"> </w:t>
      </w:r>
      <w:r w:rsidR="003D75BD">
        <w:rPr>
          <w:szCs w:val="24"/>
        </w:rPr>
        <w:t xml:space="preserve">at 14832. </w:t>
      </w:r>
      <w:r w:rsidRPr="0085462C">
        <w:rPr>
          <w:szCs w:val="24"/>
        </w:rPr>
        <w:t xml:space="preserve"> In contrast, in its 2013 ruling governing CPNI on mobile devices, the Commission stated that it was acting to “avoid a potential gap in consumers’ privacy protections.</w:t>
      </w:r>
      <w:r w:rsidR="0085462C">
        <w:rPr>
          <w:szCs w:val="24"/>
        </w:rPr>
        <w:t>”</w:t>
      </w:r>
      <w:r w:rsidR="00975FB6" w:rsidRPr="0085462C">
        <w:rPr>
          <w:szCs w:val="24"/>
        </w:rPr>
        <w:t xml:space="preserve">  </w:t>
      </w:r>
      <w:r w:rsidR="00975FB6" w:rsidRPr="0085462C">
        <w:rPr>
          <w:i/>
          <w:szCs w:val="24"/>
        </w:rPr>
        <w:t>2013 CPNI Mobile Device</w:t>
      </w:r>
      <w:r w:rsidR="00176398" w:rsidRPr="0085462C">
        <w:rPr>
          <w:i/>
          <w:szCs w:val="24"/>
        </w:rPr>
        <w:t xml:space="preserve"> Declaratory Ruling</w:t>
      </w:r>
      <w:r w:rsidR="00684C06">
        <w:rPr>
          <w:szCs w:val="24"/>
        </w:rPr>
        <w:t xml:space="preserve">, 28 FCC Rcd at </w:t>
      </w:r>
      <w:r w:rsidR="003D75BD">
        <w:rPr>
          <w:szCs w:val="24"/>
        </w:rPr>
        <w:t>9623</w:t>
      </w:r>
      <w:r w:rsidRPr="0085462C">
        <w:rPr>
          <w:szCs w:val="24"/>
        </w:rPr>
        <w:t>.  No such gap has been demonstrated here.</w:t>
      </w:r>
    </w:p>
  </w:footnote>
  <w:footnote w:id="13">
    <w:p w:rsidR="000A7CE1" w:rsidRPr="0085462C" w:rsidRDefault="000A7CE1" w:rsidP="0085462C">
      <w:pPr>
        <w:pStyle w:val="FootnoteText"/>
        <w:spacing w:before="120" w:after="120"/>
        <w:rPr>
          <w:szCs w:val="24"/>
        </w:rPr>
      </w:pPr>
      <w:r w:rsidRPr="0085462C">
        <w:rPr>
          <w:rStyle w:val="FootnoteReference"/>
          <w:szCs w:val="24"/>
        </w:rPr>
        <w:footnoteRef/>
      </w:r>
      <w:r w:rsidRPr="0085462C">
        <w:rPr>
          <w:szCs w:val="24"/>
        </w:rPr>
        <w:t xml:space="preserve"> Petition at </w:t>
      </w:r>
      <w:r w:rsidR="003D75BD">
        <w:rPr>
          <w:szCs w:val="24"/>
        </w:rPr>
        <w:t>4</w:t>
      </w:r>
      <w:r w:rsidRPr="0085462C">
        <w:rPr>
          <w:szCs w:val="24"/>
        </w:rPr>
        <w:t>.</w:t>
      </w:r>
    </w:p>
  </w:footnote>
  <w:footnote w:id="14">
    <w:p w:rsidR="000A7CE1" w:rsidRPr="0085462C" w:rsidRDefault="000A7CE1" w:rsidP="0085462C">
      <w:pPr>
        <w:pStyle w:val="FootnoteText"/>
        <w:spacing w:before="120" w:after="120"/>
        <w:rPr>
          <w:szCs w:val="24"/>
        </w:rPr>
      </w:pPr>
      <w:r w:rsidRPr="0085462C">
        <w:rPr>
          <w:rStyle w:val="FootnoteReference"/>
          <w:szCs w:val="24"/>
        </w:rPr>
        <w:footnoteRef/>
      </w:r>
      <w:r w:rsidRPr="0085462C">
        <w:rPr>
          <w:szCs w:val="24"/>
        </w:rPr>
        <w:t xml:space="preserve"> </w:t>
      </w:r>
      <w:r w:rsidRPr="0085462C">
        <w:rPr>
          <w:i/>
          <w:szCs w:val="24"/>
        </w:rPr>
        <w:t>Implementation of the Telecommunications Act of 1996:  Telecommunications Carriers’ Use of Customer Proprietary Network Information and Other Customer Information</w:t>
      </w:r>
      <w:r w:rsidRPr="0085462C">
        <w:rPr>
          <w:szCs w:val="24"/>
        </w:rPr>
        <w:t xml:space="preserve">, </w:t>
      </w:r>
      <w:r w:rsidR="005250F0" w:rsidRPr="0085462C">
        <w:rPr>
          <w:szCs w:val="24"/>
        </w:rPr>
        <w:t>Report and Order and Further Notice of Proposed Rulemaking, 22 FCC Rc</w:t>
      </w:r>
      <w:r w:rsidR="008942E4" w:rsidRPr="0085462C">
        <w:rPr>
          <w:szCs w:val="24"/>
        </w:rPr>
        <w:t>d</w:t>
      </w:r>
      <w:r w:rsidR="005250F0" w:rsidRPr="0085462C">
        <w:rPr>
          <w:szCs w:val="24"/>
        </w:rPr>
        <w:t xml:space="preserve"> 6927</w:t>
      </w:r>
      <w:r w:rsidR="003D75BD">
        <w:rPr>
          <w:szCs w:val="24"/>
        </w:rPr>
        <w:t>, 6930</w:t>
      </w:r>
      <w:r w:rsidR="005250F0" w:rsidRPr="0085462C">
        <w:rPr>
          <w:szCs w:val="24"/>
        </w:rPr>
        <w:t xml:space="preserve"> (2007)</w:t>
      </w:r>
      <w:r w:rsidRPr="0085462C">
        <w:rPr>
          <w:rFonts w:eastAsia="Cambria" w:cs="Times New Roman"/>
          <w:szCs w:val="24"/>
        </w:rPr>
        <w:t>.</w:t>
      </w:r>
    </w:p>
  </w:footnote>
  <w:footnote w:id="15">
    <w:p w:rsidR="000A7CE1" w:rsidRPr="0085462C" w:rsidRDefault="000A7CE1" w:rsidP="0085462C">
      <w:pPr>
        <w:pStyle w:val="FootnoteText"/>
        <w:spacing w:before="120" w:after="120"/>
        <w:rPr>
          <w:szCs w:val="24"/>
        </w:rPr>
      </w:pPr>
      <w:r w:rsidRPr="0085462C">
        <w:rPr>
          <w:rStyle w:val="FootnoteReference"/>
          <w:szCs w:val="24"/>
        </w:rPr>
        <w:footnoteRef/>
      </w:r>
      <w:r w:rsidRPr="0085462C">
        <w:rPr>
          <w:szCs w:val="24"/>
        </w:rPr>
        <w:t xml:space="preserve"> </w:t>
      </w:r>
      <w:r w:rsidRPr="0085462C">
        <w:rPr>
          <w:i/>
          <w:szCs w:val="24"/>
        </w:rPr>
        <w:t xml:space="preserve">2013 </w:t>
      </w:r>
      <w:r w:rsidR="00176398" w:rsidRPr="0085462C">
        <w:rPr>
          <w:i/>
          <w:szCs w:val="24"/>
        </w:rPr>
        <w:t xml:space="preserve">CPNI </w:t>
      </w:r>
      <w:r w:rsidRPr="0085462C">
        <w:rPr>
          <w:i/>
          <w:szCs w:val="24"/>
        </w:rPr>
        <w:t xml:space="preserve">Mobile Device </w:t>
      </w:r>
      <w:r w:rsidR="00176398" w:rsidRPr="0085462C">
        <w:rPr>
          <w:i/>
          <w:szCs w:val="24"/>
        </w:rPr>
        <w:t>Declaratory Ruling</w:t>
      </w:r>
      <w:r w:rsidR="0028338C" w:rsidRPr="0085462C">
        <w:rPr>
          <w:szCs w:val="24"/>
        </w:rPr>
        <w:t xml:space="preserve">, 28 FCC Rcd </w:t>
      </w:r>
      <w:r w:rsidRPr="0085462C">
        <w:rPr>
          <w:szCs w:val="24"/>
        </w:rPr>
        <w:t xml:space="preserve">at </w:t>
      </w:r>
      <w:r w:rsidR="0028338C" w:rsidRPr="0085462C">
        <w:rPr>
          <w:szCs w:val="24"/>
        </w:rPr>
        <w:t>9611</w:t>
      </w:r>
      <w:r w:rsidRPr="0085462C">
        <w:rPr>
          <w:szCs w:val="24"/>
        </w:rPr>
        <w:t xml:space="preserve"> (emphasis added).</w:t>
      </w:r>
    </w:p>
  </w:footnote>
  <w:footnote w:id="16">
    <w:p w:rsidR="000A7CE1" w:rsidRPr="0085462C" w:rsidRDefault="000A7CE1" w:rsidP="0085462C">
      <w:pPr>
        <w:pStyle w:val="FootnoteText"/>
        <w:spacing w:before="120" w:after="120"/>
        <w:rPr>
          <w:rFonts w:eastAsia="Cambria" w:cs="Times New Roman"/>
          <w:szCs w:val="24"/>
        </w:rPr>
      </w:pPr>
      <w:r w:rsidRPr="0085462C">
        <w:rPr>
          <w:rStyle w:val="FootnoteReference"/>
          <w:szCs w:val="24"/>
        </w:rPr>
        <w:footnoteRef/>
      </w:r>
      <w:r w:rsidRPr="0085462C">
        <w:rPr>
          <w:szCs w:val="24"/>
        </w:rPr>
        <w:t xml:space="preserve"> </w:t>
      </w:r>
      <w:r w:rsidR="006B23DC" w:rsidRPr="0085462C">
        <w:rPr>
          <w:rFonts w:eastAsia="Cambria" w:cs="Times New Roman"/>
          <w:i/>
          <w:szCs w:val="24"/>
        </w:rPr>
        <w:t>See</w:t>
      </w:r>
      <w:r w:rsidR="006B23DC" w:rsidRPr="0085462C">
        <w:rPr>
          <w:rFonts w:eastAsia="Cambria" w:cs="Times New Roman"/>
          <w:szCs w:val="24"/>
        </w:rPr>
        <w:t xml:space="preserve"> </w:t>
      </w:r>
      <w:r w:rsidR="006B23DC" w:rsidRPr="006B23DC" w:rsidDel="007B29B3">
        <w:rPr>
          <w:rFonts w:eastAsia="Times New Roman" w:cs="Times New Roman"/>
          <w:i/>
          <w:color w:val="000000" w:themeColor="text1"/>
          <w:szCs w:val="24"/>
        </w:rPr>
        <w:t>Implementation of the Telecommunications Act of 1996:  Telecommunications Carriers’ Use of Customer Proprietary Network Information and Other Customer Information</w:t>
      </w:r>
      <w:r w:rsidR="006B23DC" w:rsidRPr="006B23DC" w:rsidDel="007B29B3">
        <w:rPr>
          <w:rFonts w:eastAsia="Times New Roman" w:cs="Times New Roman"/>
          <w:color w:val="000000" w:themeColor="text1"/>
          <w:szCs w:val="24"/>
        </w:rPr>
        <w:t xml:space="preserve">, Third Report and Order and Third Further Notice of Proposed Rulemaking, 17 FCC Rcd 14860, 14865 (2002) </w:t>
      </w:r>
      <w:r w:rsidRPr="0085462C">
        <w:rPr>
          <w:rFonts w:eastAsia="Cambria" w:cs="Times New Roman"/>
          <w:szCs w:val="24"/>
        </w:rPr>
        <w:t xml:space="preserve">(“Aggregate customer information and subscriber list information, in contrast, do not involve personal, </w:t>
      </w:r>
      <w:r w:rsidRPr="0085462C">
        <w:rPr>
          <w:rFonts w:eastAsia="Cambria" w:cs="Times New Roman"/>
          <w:bCs/>
          <w:szCs w:val="24"/>
        </w:rPr>
        <w:t>individually identifiable</w:t>
      </w:r>
      <w:r w:rsidRPr="0085462C">
        <w:rPr>
          <w:rFonts w:eastAsia="Cambria" w:cs="Times New Roman"/>
          <w:szCs w:val="24"/>
        </w:rPr>
        <w:t xml:space="preserve"> information”</w:t>
      </w:r>
      <w:r w:rsidR="006B23DC" w:rsidRPr="0085462C">
        <w:rPr>
          <w:rFonts w:eastAsia="Cambria" w:cs="Times New Roman"/>
          <w:szCs w:val="24"/>
        </w:rPr>
        <w:t>) and (“</w:t>
      </w:r>
      <w:r w:rsidR="003D75BD">
        <w:rPr>
          <w:rFonts w:eastAsia="Cambria" w:cs="Times New Roman"/>
          <w:szCs w:val="24"/>
        </w:rPr>
        <w:t>[</w:t>
      </w:r>
      <w:r w:rsidR="006B23DC" w:rsidRPr="0085462C">
        <w:rPr>
          <w:rFonts w:eastAsia="Cambria" w:cs="Times New Roman"/>
          <w:szCs w:val="24"/>
        </w:rPr>
        <w:t>A</w:t>
      </w:r>
      <w:r w:rsidR="003D75BD">
        <w:rPr>
          <w:rFonts w:eastAsia="Cambria" w:cs="Times New Roman"/>
          <w:szCs w:val="24"/>
        </w:rPr>
        <w:t>]</w:t>
      </w:r>
      <w:r w:rsidRPr="0085462C">
        <w:rPr>
          <w:rFonts w:eastAsia="Cambria" w:cs="Times New Roman"/>
          <w:szCs w:val="24"/>
        </w:rPr>
        <w:t>ggregate customer information . . . by definition has been stripped of individually identifiable information”)</w:t>
      </w:r>
      <w:r w:rsidR="006B23DC" w:rsidRPr="0085462C">
        <w:rPr>
          <w:rFonts w:eastAsia="Cambria" w:cs="Times New Roman"/>
          <w:szCs w:val="24"/>
        </w:rPr>
        <w:t>.</w:t>
      </w:r>
    </w:p>
  </w:footnote>
  <w:footnote w:id="17">
    <w:p w:rsidR="000A7CE1" w:rsidRPr="0085462C" w:rsidRDefault="000A7CE1" w:rsidP="0085462C">
      <w:pPr>
        <w:pStyle w:val="FootnoteText"/>
        <w:spacing w:before="120" w:after="120"/>
        <w:rPr>
          <w:szCs w:val="24"/>
        </w:rPr>
      </w:pPr>
      <w:r w:rsidRPr="0085462C">
        <w:rPr>
          <w:rStyle w:val="FootnoteReference"/>
          <w:szCs w:val="24"/>
        </w:rPr>
        <w:footnoteRef/>
      </w:r>
      <w:r w:rsidRPr="0085462C">
        <w:rPr>
          <w:szCs w:val="24"/>
        </w:rPr>
        <w:t xml:space="preserve"> 47 </w:t>
      </w:r>
      <w:r w:rsidR="003D75BD">
        <w:rPr>
          <w:szCs w:val="24"/>
        </w:rPr>
        <w:t>U.S.C.</w:t>
      </w:r>
      <w:r w:rsidRPr="0085462C">
        <w:rPr>
          <w:szCs w:val="24"/>
        </w:rPr>
        <w:t xml:space="preserve"> </w:t>
      </w:r>
      <w:r w:rsidRPr="0085462C">
        <w:rPr>
          <w:rFonts w:cs="Times New Roman"/>
          <w:szCs w:val="24"/>
        </w:rPr>
        <w:t>§</w:t>
      </w:r>
      <w:r w:rsidRPr="0085462C">
        <w:rPr>
          <w:szCs w:val="24"/>
        </w:rPr>
        <w:t xml:space="preserve"> 222(h)(1).</w:t>
      </w:r>
    </w:p>
  </w:footnote>
  <w:footnote w:id="18">
    <w:p w:rsidR="000A7CE1" w:rsidRPr="0085462C" w:rsidRDefault="000A7CE1" w:rsidP="0085462C">
      <w:pPr>
        <w:pStyle w:val="FootnoteText"/>
        <w:spacing w:before="120" w:after="120"/>
        <w:rPr>
          <w:szCs w:val="24"/>
        </w:rPr>
      </w:pPr>
      <w:r w:rsidRPr="0085462C">
        <w:rPr>
          <w:rStyle w:val="FootnoteReference"/>
          <w:szCs w:val="24"/>
        </w:rPr>
        <w:footnoteRef/>
      </w:r>
      <w:r w:rsidRPr="0085462C">
        <w:rPr>
          <w:szCs w:val="24"/>
        </w:rPr>
        <w:t xml:space="preserve"> </w:t>
      </w:r>
      <w:r w:rsidR="003D75BD">
        <w:rPr>
          <w:i/>
          <w:szCs w:val="24"/>
        </w:rPr>
        <w:t>Id.</w:t>
      </w:r>
      <w:r w:rsidRPr="0085462C">
        <w:rPr>
          <w:szCs w:val="24"/>
        </w:rPr>
        <w:t xml:space="preserve"> </w:t>
      </w:r>
      <w:r w:rsidRPr="0085462C">
        <w:rPr>
          <w:rFonts w:cs="Times New Roman"/>
          <w:szCs w:val="24"/>
        </w:rPr>
        <w:t>§</w:t>
      </w:r>
      <w:r w:rsidRPr="0085462C">
        <w:rPr>
          <w:szCs w:val="24"/>
        </w:rPr>
        <w:t xml:space="preserve"> 222(c)(1).</w:t>
      </w:r>
    </w:p>
  </w:footnote>
  <w:footnote w:id="19">
    <w:p w:rsidR="000A7CE1" w:rsidRPr="0085462C" w:rsidRDefault="000A7CE1" w:rsidP="0085462C">
      <w:pPr>
        <w:pStyle w:val="FootnoteText"/>
        <w:spacing w:before="120" w:after="120"/>
        <w:rPr>
          <w:szCs w:val="24"/>
        </w:rPr>
      </w:pPr>
      <w:r w:rsidRPr="0085462C">
        <w:rPr>
          <w:rStyle w:val="FootnoteReference"/>
          <w:szCs w:val="24"/>
        </w:rPr>
        <w:footnoteRef/>
      </w:r>
      <w:r w:rsidRPr="0085462C">
        <w:rPr>
          <w:szCs w:val="24"/>
        </w:rPr>
        <w:t xml:space="preserve"> </w:t>
      </w:r>
      <w:r w:rsidR="003D75BD">
        <w:rPr>
          <w:i/>
          <w:szCs w:val="24"/>
        </w:rPr>
        <w:t>Id.</w:t>
      </w:r>
      <w:r w:rsidRPr="0085462C">
        <w:rPr>
          <w:szCs w:val="24"/>
        </w:rPr>
        <w:t xml:space="preserve"> </w:t>
      </w:r>
      <w:r w:rsidRPr="0085462C">
        <w:rPr>
          <w:rFonts w:cs="Times New Roman"/>
          <w:szCs w:val="24"/>
        </w:rPr>
        <w:t>§</w:t>
      </w:r>
      <w:r w:rsidRPr="0085462C">
        <w:rPr>
          <w:szCs w:val="24"/>
        </w:rPr>
        <w:t xml:space="preserve"> 222(h)(2).</w:t>
      </w:r>
    </w:p>
  </w:footnote>
  <w:footnote w:id="20">
    <w:p w:rsidR="000A7CE1" w:rsidRPr="0085462C" w:rsidRDefault="000A7CE1" w:rsidP="0085462C">
      <w:pPr>
        <w:pStyle w:val="FootnoteText"/>
        <w:spacing w:before="120" w:after="120"/>
        <w:rPr>
          <w:szCs w:val="24"/>
        </w:rPr>
      </w:pPr>
      <w:r w:rsidRPr="0085462C">
        <w:rPr>
          <w:rStyle w:val="FootnoteReference"/>
          <w:szCs w:val="24"/>
        </w:rPr>
        <w:footnoteRef/>
      </w:r>
      <w:r w:rsidRPr="0085462C">
        <w:rPr>
          <w:szCs w:val="24"/>
        </w:rPr>
        <w:t xml:space="preserve"> </w:t>
      </w:r>
      <w:r w:rsidR="003D75BD">
        <w:rPr>
          <w:i/>
          <w:szCs w:val="24"/>
        </w:rPr>
        <w:t>Id.</w:t>
      </w:r>
      <w:r w:rsidRPr="0085462C">
        <w:rPr>
          <w:szCs w:val="24"/>
        </w:rPr>
        <w:t xml:space="preserve"> </w:t>
      </w:r>
      <w:r w:rsidRPr="0085462C">
        <w:rPr>
          <w:rFonts w:cs="Times New Roman"/>
          <w:szCs w:val="24"/>
        </w:rPr>
        <w:t>§</w:t>
      </w:r>
      <w:r w:rsidRPr="0085462C">
        <w:rPr>
          <w:szCs w:val="24"/>
        </w:rPr>
        <w:t xml:space="preserve"> 222(h)(3).</w:t>
      </w:r>
    </w:p>
  </w:footnote>
  <w:footnote w:id="21">
    <w:p w:rsidR="000A7CE1" w:rsidRPr="0085462C" w:rsidRDefault="000A7CE1" w:rsidP="0085462C">
      <w:pPr>
        <w:pStyle w:val="FootnoteText"/>
        <w:spacing w:before="120" w:after="120"/>
        <w:rPr>
          <w:szCs w:val="24"/>
        </w:rPr>
      </w:pPr>
      <w:r w:rsidRPr="0085462C">
        <w:rPr>
          <w:rStyle w:val="FootnoteReference"/>
          <w:szCs w:val="24"/>
        </w:rPr>
        <w:footnoteRef/>
      </w:r>
      <w:r w:rsidRPr="0085462C">
        <w:rPr>
          <w:szCs w:val="24"/>
        </w:rPr>
        <w:t xml:space="preserve"> </w:t>
      </w:r>
      <w:r w:rsidRPr="0085462C">
        <w:rPr>
          <w:rFonts w:eastAsia="Cambria" w:cs="Times New Roman"/>
          <w:i/>
          <w:szCs w:val="24"/>
        </w:rPr>
        <w:t>Arizona Elec. Power Co-op.</w:t>
      </w:r>
      <w:r w:rsidR="003D75BD">
        <w:rPr>
          <w:rFonts w:eastAsia="Cambria" w:cs="Times New Roman"/>
          <w:i/>
          <w:szCs w:val="24"/>
        </w:rPr>
        <w:t>, Inc.</w:t>
      </w:r>
      <w:r w:rsidRPr="0085462C">
        <w:rPr>
          <w:rFonts w:eastAsia="Cambria" w:cs="Times New Roman"/>
          <w:i/>
          <w:szCs w:val="24"/>
        </w:rPr>
        <w:t xml:space="preserve"> v. U.S.</w:t>
      </w:r>
      <w:r w:rsidRPr="0085462C">
        <w:rPr>
          <w:rFonts w:eastAsia="Cambria" w:cs="Times New Roman"/>
          <w:szCs w:val="24"/>
        </w:rPr>
        <w:t>, 816 F.2d 1366, 1375 (9</w:t>
      </w:r>
      <w:r w:rsidRPr="0085462C">
        <w:rPr>
          <w:rFonts w:eastAsia="Cambria" w:cs="Times New Roman"/>
          <w:szCs w:val="24"/>
          <w:vertAlign w:val="superscript"/>
        </w:rPr>
        <w:t>th</w:t>
      </w:r>
      <w:r w:rsidRPr="0085462C">
        <w:rPr>
          <w:rFonts w:eastAsia="Cambria" w:cs="Times New Roman"/>
          <w:szCs w:val="24"/>
        </w:rPr>
        <w:t xml:space="preserve"> Cir. 1987).  </w:t>
      </w:r>
    </w:p>
  </w:footnote>
  <w:footnote w:id="22">
    <w:p w:rsidR="000A7CE1" w:rsidRPr="0085462C" w:rsidRDefault="000A7CE1" w:rsidP="0085462C">
      <w:pPr>
        <w:pStyle w:val="FootnoteText"/>
        <w:spacing w:before="120" w:after="120"/>
        <w:rPr>
          <w:szCs w:val="24"/>
        </w:rPr>
      </w:pPr>
      <w:r w:rsidRPr="0085462C">
        <w:rPr>
          <w:rStyle w:val="FootnoteReference"/>
          <w:szCs w:val="24"/>
        </w:rPr>
        <w:footnoteRef/>
      </w:r>
      <w:r w:rsidRPr="0085462C">
        <w:rPr>
          <w:szCs w:val="24"/>
        </w:rPr>
        <w:t xml:space="preserve"> 47 U.S.C. </w:t>
      </w:r>
      <w:r w:rsidRPr="0085462C">
        <w:rPr>
          <w:rFonts w:cs="Times New Roman"/>
          <w:szCs w:val="24"/>
        </w:rPr>
        <w:t>§</w:t>
      </w:r>
      <w:r w:rsidRPr="0085462C">
        <w:rPr>
          <w:szCs w:val="24"/>
        </w:rPr>
        <w:t xml:space="preserve"> 222(c)(1) (emphasis added).</w:t>
      </w:r>
    </w:p>
  </w:footnote>
  <w:footnote w:id="23">
    <w:p w:rsidR="000A7CE1" w:rsidRPr="0085462C" w:rsidRDefault="000A7CE1" w:rsidP="0085462C">
      <w:pPr>
        <w:pStyle w:val="FootnoteText"/>
        <w:spacing w:before="120" w:after="120"/>
        <w:rPr>
          <w:szCs w:val="24"/>
        </w:rPr>
      </w:pPr>
      <w:r w:rsidRPr="0085462C">
        <w:rPr>
          <w:rStyle w:val="FootnoteReference"/>
          <w:szCs w:val="24"/>
        </w:rPr>
        <w:footnoteRef/>
      </w:r>
      <w:r w:rsidRPr="0085462C">
        <w:rPr>
          <w:szCs w:val="24"/>
        </w:rPr>
        <w:t xml:space="preserve"> </w:t>
      </w:r>
      <w:r w:rsidRPr="0085462C">
        <w:rPr>
          <w:i/>
          <w:szCs w:val="24"/>
        </w:rPr>
        <w:t>See, e.g.</w:t>
      </w:r>
      <w:r w:rsidRPr="0085462C">
        <w:rPr>
          <w:szCs w:val="24"/>
        </w:rPr>
        <w:t xml:space="preserve">, </w:t>
      </w:r>
      <w:r w:rsidRPr="0085462C">
        <w:rPr>
          <w:i/>
          <w:iCs/>
          <w:szCs w:val="24"/>
        </w:rPr>
        <w:t>Mattel</w:t>
      </w:r>
      <w:r w:rsidR="003D75BD">
        <w:rPr>
          <w:i/>
          <w:iCs/>
          <w:szCs w:val="24"/>
        </w:rPr>
        <w:t>, Inc.</w:t>
      </w:r>
      <w:r w:rsidRPr="0085462C">
        <w:rPr>
          <w:i/>
          <w:iCs/>
          <w:szCs w:val="24"/>
        </w:rPr>
        <w:t xml:space="preserve"> v. Barbie-</w:t>
      </w:r>
      <w:r w:rsidR="003D75BD">
        <w:rPr>
          <w:i/>
          <w:iCs/>
          <w:szCs w:val="24"/>
        </w:rPr>
        <w:t>C</w:t>
      </w:r>
      <w:r w:rsidRPr="0085462C">
        <w:rPr>
          <w:i/>
          <w:iCs/>
          <w:szCs w:val="24"/>
        </w:rPr>
        <w:t>lub.com</w:t>
      </w:r>
      <w:r w:rsidRPr="0085462C">
        <w:rPr>
          <w:szCs w:val="24"/>
        </w:rPr>
        <w:t>, 310 F.3d 293, 300 (2d Cir. 2002)</w:t>
      </w:r>
      <w:r w:rsidR="00684C06">
        <w:rPr>
          <w:szCs w:val="24"/>
        </w:rPr>
        <w:t xml:space="preserve"> </w:t>
      </w:r>
      <w:r w:rsidR="007312EA" w:rsidRPr="0085462C">
        <w:rPr>
          <w:szCs w:val="24"/>
        </w:rPr>
        <w:fldChar w:fldCharType="begin"/>
      </w:r>
      <w:r w:rsidRPr="0085462C">
        <w:rPr>
          <w:szCs w:val="24"/>
        </w:rPr>
        <w:instrText xml:space="preserve"> TA \l "</w:instrText>
      </w:r>
      <w:r w:rsidRPr="0085462C">
        <w:rPr>
          <w:i/>
          <w:iCs/>
          <w:szCs w:val="24"/>
        </w:rPr>
        <w:instrText>Mattel v. Barbie-club.com</w:instrText>
      </w:r>
      <w:r w:rsidRPr="0085462C">
        <w:rPr>
          <w:szCs w:val="24"/>
        </w:rPr>
        <w:instrText xml:space="preserve">, 310 F.3d 293 (2d Cir. 2002)" \s "Mattel v. Barbie-club.com, 310 F.3d 293 (2d Cir. 2002)" \c 1 </w:instrText>
      </w:r>
      <w:r w:rsidR="007312EA" w:rsidRPr="0085462C">
        <w:rPr>
          <w:szCs w:val="24"/>
        </w:rPr>
        <w:fldChar w:fldCharType="end"/>
      </w:r>
      <w:r w:rsidRPr="0085462C">
        <w:rPr>
          <w:szCs w:val="24"/>
        </w:rPr>
        <w:t xml:space="preserve">(explaining the applicability of the canon known as </w:t>
      </w:r>
      <w:r w:rsidRPr="0085462C">
        <w:rPr>
          <w:i/>
          <w:szCs w:val="24"/>
        </w:rPr>
        <w:t>generalia specialibus non derogant</w:t>
      </w:r>
      <w:r w:rsidRPr="0085462C">
        <w:rPr>
          <w:szCs w:val="24"/>
        </w:rPr>
        <w:t>—general provisions do not qualify specific ones).</w:t>
      </w:r>
    </w:p>
  </w:footnote>
  <w:footnote w:id="24">
    <w:p w:rsidR="009C5E9C" w:rsidRPr="0085462C" w:rsidRDefault="009C5E9C" w:rsidP="0085462C">
      <w:pPr>
        <w:pStyle w:val="FootnoteText"/>
        <w:spacing w:before="120" w:after="120"/>
        <w:rPr>
          <w:szCs w:val="24"/>
        </w:rPr>
      </w:pPr>
      <w:r w:rsidRPr="0085462C">
        <w:rPr>
          <w:rStyle w:val="FootnoteReference"/>
          <w:szCs w:val="24"/>
        </w:rPr>
        <w:footnoteRef/>
      </w:r>
      <w:r w:rsidRPr="0085462C">
        <w:rPr>
          <w:szCs w:val="24"/>
        </w:rPr>
        <w:t xml:space="preserve"> Petition at </w:t>
      </w:r>
      <w:r w:rsidR="006B23DC" w:rsidRPr="0085462C">
        <w:rPr>
          <w:szCs w:val="24"/>
        </w:rPr>
        <w:t>3-4</w:t>
      </w:r>
      <w:r w:rsidRPr="0085462C">
        <w:rPr>
          <w:szCs w:val="24"/>
        </w:rPr>
        <w:t>.</w:t>
      </w:r>
    </w:p>
  </w:footnote>
  <w:footnote w:id="25">
    <w:p w:rsidR="009C5E9C" w:rsidRPr="0085462C" w:rsidRDefault="009C5E9C" w:rsidP="0085462C">
      <w:pPr>
        <w:pStyle w:val="FootnoteText"/>
        <w:spacing w:before="120" w:after="120"/>
        <w:rPr>
          <w:szCs w:val="24"/>
        </w:rPr>
      </w:pPr>
      <w:r w:rsidRPr="0085462C">
        <w:rPr>
          <w:rStyle w:val="FootnoteReference"/>
          <w:szCs w:val="24"/>
        </w:rPr>
        <w:footnoteRef/>
      </w:r>
      <w:r w:rsidRPr="0085462C">
        <w:rPr>
          <w:szCs w:val="24"/>
        </w:rPr>
        <w:t xml:space="preserve"> 47 U.S.C. § 222(h)(2).</w:t>
      </w:r>
    </w:p>
  </w:footnote>
  <w:footnote w:id="26">
    <w:p w:rsidR="009C5E9C" w:rsidRPr="0085462C" w:rsidRDefault="009C5E9C" w:rsidP="0085462C">
      <w:pPr>
        <w:pStyle w:val="FootnoteText"/>
        <w:spacing w:before="120" w:after="120"/>
        <w:rPr>
          <w:szCs w:val="24"/>
        </w:rPr>
      </w:pPr>
      <w:r w:rsidRPr="0085462C">
        <w:rPr>
          <w:rStyle w:val="FootnoteReference"/>
          <w:szCs w:val="24"/>
        </w:rPr>
        <w:footnoteRef/>
      </w:r>
      <w:r w:rsidRPr="0085462C">
        <w:rPr>
          <w:szCs w:val="24"/>
        </w:rPr>
        <w:t xml:space="preserve"> </w:t>
      </w:r>
      <w:r w:rsidR="003D75BD">
        <w:rPr>
          <w:i/>
          <w:szCs w:val="24"/>
        </w:rPr>
        <w:t>Id.</w:t>
      </w:r>
      <w:r w:rsidRPr="0085462C">
        <w:rPr>
          <w:szCs w:val="24"/>
        </w:rPr>
        <w:t xml:space="preserve"> </w:t>
      </w:r>
      <w:r w:rsidRPr="0085462C">
        <w:rPr>
          <w:rFonts w:cs="Times New Roman"/>
          <w:szCs w:val="24"/>
        </w:rPr>
        <w:t>§</w:t>
      </w:r>
      <w:r w:rsidRPr="0085462C">
        <w:rPr>
          <w:szCs w:val="24"/>
        </w:rPr>
        <w:t xml:space="preserve"> 222(c)(3).</w:t>
      </w:r>
    </w:p>
  </w:footnote>
  <w:footnote w:id="27">
    <w:p w:rsidR="009C5E9C" w:rsidRPr="0085462C" w:rsidRDefault="009C5E9C" w:rsidP="0085462C">
      <w:pPr>
        <w:pStyle w:val="FootnoteText"/>
        <w:spacing w:before="120" w:after="120"/>
        <w:rPr>
          <w:szCs w:val="24"/>
        </w:rPr>
      </w:pPr>
      <w:r w:rsidRPr="0085462C">
        <w:rPr>
          <w:rStyle w:val="FootnoteReference"/>
          <w:szCs w:val="24"/>
        </w:rPr>
        <w:footnoteRef/>
      </w:r>
      <w:r w:rsidRPr="0085462C">
        <w:rPr>
          <w:szCs w:val="24"/>
        </w:rPr>
        <w:t xml:space="preserve"> </w:t>
      </w:r>
      <w:r w:rsidR="003D75BD">
        <w:rPr>
          <w:i/>
          <w:szCs w:val="24"/>
        </w:rPr>
        <w:t>Id.</w:t>
      </w:r>
      <w:r w:rsidRPr="0085462C">
        <w:rPr>
          <w:szCs w:val="24"/>
        </w:rPr>
        <w:t xml:space="preserve"> § 222(h)(2).</w:t>
      </w:r>
    </w:p>
  </w:footnote>
  <w:footnote w:id="28">
    <w:p w:rsidR="009C5E9C" w:rsidRPr="0085462C" w:rsidRDefault="009C5E9C" w:rsidP="0085462C">
      <w:pPr>
        <w:pStyle w:val="FootnoteText"/>
        <w:spacing w:before="120" w:after="120"/>
        <w:rPr>
          <w:szCs w:val="24"/>
        </w:rPr>
      </w:pPr>
      <w:r w:rsidRPr="0085462C">
        <w:rPr>
          <w:rStyle w:val="FootnoteReference"/>
          <w:szCs w:val="24"/>
        </w:rPr>
        <w:footnoteRef/>
      </w:r>
      <w:r w:rsidRPr="0085462C">
        <w:rPr>
          <w:szCs w:val="24"/>
        </w:rPr>
        <w:t xml:space="preserve"> </w:t>
      </w:r>
      <w:r w:rsidR="006B23DC" w:rsidRPr="0085462C">
        <w:rPr>
          <w:rFonts w:cs="Times New Roman"/>
          <w:color w:val="000000" w:themeColor="text1"/>
          <w:szCs w:val="24"/>
        </w:rPr>
        <w:t xml:space="preserve">Joint </w:t>
      </w:r>
      <w:r w:rsidR="003258B3">
        <w:rPr>
          <w:rFonts w:cs="Times New Roman"/>
          <w:color w:val="000000" w:themeColor="text1"/>
          <w:szCs w:val="24"/>
        </w:rPr>
        <w:t xml:space="preserve">Explanatory </w:t>
      </w:r>
      <w:r w:rsidR="006B23DC" w:rsidRPr="0085462C">
        <w:rPr>
          <w:rFonts w:cs="Times New Roman"/>
          <w:color w:val="000000" w:themeColor="text1"/>
          <w:szCs w:val="24"/>
        </w:rPr>
        <w:t>Statement of</w:t>
      </w:r>
      <w:r w:rsidR="003258B3">
        <w:rPr>
          <w:rFonts w:cs="Times New Roman"/>
          <w:color w:val="000000" w:themeColor="text1"/>
          <w:szCs w:val="24"/>
        </w:rPr>
        <w:t xml:space="preserve"> the Committee of Conference</w:t>
      </w:r>
      <w:r w:rsidR="006B23DC" w:rsidRPr="0085462C">
        <w:rPr>
          <w:rFonts w:cs="Times New Roman"/>
          <w:color w:val="000000" w:themeColor="text1"/>
          <w:szCs w:val="24"/>
        </w:rPr>
        <w:t xml:space="preserve">, </w:t>
      </w:r>
      <w:r w:rsidR="003258B3">
        <w:rPr>
          <w:rFonts w:cs="Times New Roman"/>
          <w:color w:val="000000" w:themeColor="text1"/>
          <w:szCs w:val="24"/>
        </w:rPr>
        <w:t>H.R</w:t>
      </w:r>
      <w:r w:rsidR="006B23DC" w:rsidRPr="0085462C">
        <w:rPr>
          <w:rFonts w:cs="Times New Roman"/>
          <w:color w:val="000000" w:themeColor="text1"/>
          <w:szCs w:val="24"/>
        </w:rPr>
        <w:t>. Rep. No. 104-</w:t>
      </w:r>
      <w:r w:rsidR="003258B3">
        <w:rPr>
          <w:rFonts w:cs="Times New Roman"/>
          <w:color w:val="000000" w:themeColor="text1"/>
          <w:szCs w:val="24"/>
        </w:rPr>
        <w:t>458</w:t>
      </w:r>
      <w:r w:rsidR="006B23DC" w:rsidRPr="0085462C">
        <w:rPr>
          <w:rFonts w:cs="Times New Roman"/>
          <w:color w:val="000000" w:themeColor="text1"/>
          <w:szCs w:val="24"/>
        </w:rPr>
        <w:t xml:space="preserve">, </w:t>
      </w:r>
      <w:r w:rsidR="003258B3">
        <w:rPr>
          <w:rFonts w:cs="Times New Roman"/>
          <w:color w:val="000000" w:themeColor="text1"/>
          <w:szCs w:val="24"/>
        </w:rPr>
        <w:t xml:space="preserve">at 113, </w:t>
      </w:r>
      <w:r w:rsidR="006B23DC" w:rsidRPr="0085462C">
        <w:rPr>
          <w:rFonts w:cs="Times New Roman"/>
          <w:color w:val="000000" w:themeColor="text1"/>
          <w:szCs w:val="24"/>
        </w:rPr>
        <w:t>205 (1996)</w:t>
      </w:r>
      <w:r w:rsidR="003258B3">
        <w:rPr>
          <w:rFonts w:cs="Times New Roman"/>
          <w:color w:val="000000" w:themeColor="text1"/>
          <w:szCs w:val="24"/>
        </w:rPr>
        <w:t xml:space="preserve"> (</w:t>
      </w:r>
      <w:r w:rsidR="003258B3" w:rsidRPr="0085462C">
        <w:rPr>
          <w:rFonts w:cs="Times New Roman"/>
          <w:color w:val="000000" w:themeColor="text1"/>
          <w:szCs w:val="24"/>
        </w:rPr>
        <w:t>Conf. Rep.</w:t>
      </w:r>
      <w:r w:rsidR="003258B3">
        <w:rPr>
          <w:rFonts w:cs="Times New Roman"/>
          <w:color w:val="000000" w:themeColor="text1"/>
          <w:szCs w:val="24"/>
        </w:rPr>
        <w:t>)</w:t>
      </w:r>
      <w:r w:rsidR="006B23DC" w:rsidRPr="0085462C">
        <w:rPr>
          <w:rFonts w:cs="Times New Roman"/>
          <w:color w:val="000000" w:themeColor="text1"/>
          <w:szCs w:val="24"/>
        </w:rPr>
        <w:t>.</w:t>
      </w:r>
    </w:p>
  </w:footnote>
  <w:footnote w:id="29">
    <w:p w:rsidR="009C5E9C" w:rsidRPr="0085462C" w:rsidRDefault="009C5E9C" w:rsidP="0085462C">
      <w:pPr>
        <w:pStyle w:val="FootnoteText"/>
        <w:spacing w:before="120" w:after="120"/>
        <w:rPr>
          <w:szCs w:val="24"/>
        </w:rPr>
      </w:pPr>
      <w:r w:rsidRPr="0085462C">
        <w:rPr>
          <w:rStyle w:val="FootnoteReference"/>
          <w:szCs w:val="24"/>
        </w:rPr>
        <w:footnoteRef/>
      </w:r>
      <w:r w:rsidRPr="0085462C">
        <w:rPr>
          <w:szCs w:val="24"/>
        </w:rPr>
        <w:t xml:space="preserve"> 47 U.S.C. </w:t>
      </w:r>
      <w:r w:rsidRPr="0085462C">
        <w:rPr>
          <w:rFonts w:cs="Times New Roman"/>
          <w:szCs w:val="24"/>
        </w:rPr>
        <w:t>§</w:t>
      </w:r>
      <w:r w:rsidRPr="0085462C">
        <w:rPr>
          <w:szCs w:val="24"/>
        </w:rPr>
        <w:t xml:space="preserve"> 222(c)(3).</w:t>
      </w:r>
    </w:p>
  </w:footnote>
  <w:footnote w:id="30">
    <w:p w:rsidR="000A7CE1" w:rsidRPr="0085462C" w:rsidRDefault="000A7CE1" w:rsidP="0085462C">
      <w:pPr>
        <w:pStyle w:val="FootnoteText"/>
        <w:spacing w:before="120" w:after="120"/>
        <w:rPr>
          <w:szCs w:val="24"/>
        </w:rPr>
      </w:pPr>
      <w:r w:rsidRPr="0085462C">
        <w:rPr>
          <w:rStyle w:val="FootnoteReference"/>
          <w:szCs w:val="24"/>
        </w:rPr>
        <w:footnoteRef/>
      </w:r>
      <w:r w:rsidRPr="0085462C">
        <w:rPr>
          <w:szCs w:val="24"/>
        </w:rPr>
        <w:t xml:space="preserve"> Petition </w:t>
      </w:r>
      <w:r w:rsidR="003D75BD">
        <w:rPr>
          <w:szCs w:val="24"/>
        </w:rPr>
        <w:t xml:space="preserve">at 5 </w:t>
      </w:r>
      <w:r w:rsidR="006D243E" w:rsidRPr="0085462C">
        <w:rPr>
          <w:szCs w:val="24"/>
        </w:rPr>
        <w:t>n.16</w:t>
      </w:r>
      <w:r w:rsidRPr="0085462C">
        <w:rPr>
          <w:szCs w:val="24"/>
        </w:rPr>
        <w:t>.</w:t>
      </w:r>
    </w:p>
  </w:footnote>
  <w:footnote w:id="31">
    <w:p w:rsidR="000A7CE1" w:rsidRPr="0085462C" w:rsidRDefault="000A7CE1" w:rsidP="0085462C">
      <w:pPr>
        <w:pStyle w:val="FootnoteText"/>
        <w:spacing w:before="120" w:after="120"/>
        <w:rPr>
          <w:i/>
          <w:szCs w:val="24"/>
        </w:rPr>
      </w:pPr>
      <w:r w:rsidRPr="0085462C">
        <w:rPr>
          <w:rStyle w:val="FootnoteReference"/>
          <w:szCs w:val="24"/>
        </w:rPr>
        <w:footnoteRef/>
      </w:r>
      <w:r w:rsidRPr="0085462C">
        <w:rPr>
          <w:szCs w:val="24"/>
        </w:rPr>
        <w:t xml:space="preserve"> </w:t>
      </w:r>
      <w:r w:rsidR="00FC03F5" w:rsidRPr="0085462C">
        <w:rPr>
          <w:i/>
          <w:szCs w:val="24"/>
        </w:rPr>
        <w:t>Id.</w:t>
      </w:r>
    </w:p>
  </w:footnote>
  <w:footnote w:id="32">
    <w:p w:rsidR="000A7CE1" w:rsidRPr="0085462C" w:rsidRDefault="000A7CE1" w:rsidP="0085462C">
      <w:pPr>
        <w:pStyle w:val="FootnoteText"/>
        <w:spacing w:before="120" w:after="120"/>
        <w:rPr>
          <w:rFonts w:cs="Times New Roman"/>
          <w:szCs w:val="24"/>
        </w:rPr>
      </w:pPr>
      <w:r w:rsidRPr="0085462C">
        <w:rPr>
          <w:rStyle w:val="FootnoteReference"/>
          <w:szCs w:val="24"/>
        </w:rPr>
        <w:footnoteRef/>
      </w:r>
      <w:r w:rsidRPr="0085462C">
        <w:rPr>
          <w:szCs w:val="24"/>
        </w:rPr>
        <w:t xml:space="preserve"> </w:t>
      </w:r>
      <w:r w:rsidR="003D75BD">
        <w:rPr>
          <w:szCs w:val="24"/>
        </w:rPr>
        <w:t xml:space="preserve">Definition of Identifiable, Dictionary.com, </w:t>
      </w:r>
      <w:hyperlink r:id="rId3" w:history="1">
        <w:r w:rsidR="003D75BD" w:rsidRPr="00A915F6">
          <w:rPr>
            <w:rStyle w:val="Hyperlink"/>
          </w:rPr>
          <w:t>http://dictionary.reference.com/browse/identifiable?s=t</w:t>
        </w:r>
      </w:hyperlink>
      <w:r w:rsidR="003D75BD">
        <w:t xml:space="preserve"> </w:t>
      </w:r>
      <w:r w:rsidR="00423192" w:rsidRPr="0085462C">
        <w:rPr>
          <w:szCs w:val="24"/>
        </w:rPr>
        <w:t>(</w:t>
      </w:r>
      <w:r w:rsidR="003D75BD">
        <w:rPr>
          <w:szCs w:val="24"/>
        </w:rPr>
        <w:t xml:space="preserve">last visited Jan. 17, </w:t>
      </w:r>
      <w:r w:rsidR="00423192" w:rsidRPr="0085462C">
        <w:rPr>
          <w:szCs w:val="24"/>
        </w:rPr>
        <w:t>2014)</w:t>
      </w:r>
      <w:r w:rsidR="00530DAA">
        <w:rPr>
          <w:szCs w:val="24"/>
        </w:rPr>
        <w:t xml:space="preserve"> (emphasis added)</w:t>
      </w:r>
      <w:r w:rsidR="00FC03F5" w:rsidRPr="0085462C">
        <w:rPr>
          <w:szCs w:val="24"/>
        </w:rPr>
        <w:t xml:space="preserve">; </w:t>
      </w:r>
      <w:r w:rsidR="00FC03F5" w:rsidRPr="0085462C">
        <w:rPr>
          <w:i/>
          <w:szCs w:val="24"/>
        </w:rPr>
        <w:t>s</w:t>
      </w:r>
      <w:r w:rsidR="00FC03F5" w:rsidRPr="0085462C">
        <w:rPr>
          <w:rFonts w:cs="Times New Roman"/>
          <w:i/>
          <w:szCs w:val="24"/>
        </w:rPr>
        <w:t>ee also</w:t>
      </w:r>
      <w:r w:rsidR="00FC03F5" w:rsidRPr="0085462C">
        <w:rPr>
          <w:rFonts w:cs="Times New Roman"/>
          <w:szCs w:val="24"/>
        </w:rPr>
        <w:t xml:space="preserve"> </w:t>
      </w:r>
      <w:r w:rsidR="003D75BD">
        <w:rPr>
          <w:szCs w:val="24"/>
        </w:rPr>
        <w:t>Definition of Identifiable,</w:t>
      </w:r>
      <w:r w:rsidR="003D75BD" w:rsidRPr="0085462C">
        <w:rPr>
          <w:rFonts w:cs="Times New Roman"/>
          <w:szCs w:val="24"/>
        </w:rPr>
        <w:t xml:space="preserve"> </w:t>
      </w:r>
      <w:r w:rsidR="003D75BD">
        <w:rPr>
          <w:rFonts w:cs="Times New Roman"/>
          <w:szCs w:val="24"/>
        </w:rPr>
        <w:t>Merriam-</w:t>
      </w:r>
      <w:r w:rsidR="00FC03F5" w:rsidRPr="0085462C">
        <w:rPr>
          <w:rFonts w:cs="Times New Roman"/>
          <w:szCs w:val="24"/>
        </w:rPr>
        <w:t xml:space="preserve">Webster </w:t>
      </w:r>
      <w:r w:rsidR="00FC03F5" w:rsidRPr="0085462C">
        <w:rPr>
          <w:rFonts w:eastAsia="Cambria" w:cs="Times New Roman"/>
          <w:szCs w:val="24"/>
        </w:rPr>
        <w:t>Dictionary</w:t>
      </w:r>
      <w:r w:rsidR="00FC03F5" w:rsidRPr="0085462C">
        <w:rPr>
          <w:rFonts w:cs="Times New Roman"/>
          <w:szCs w:val="24"/>
        </w:rPr>
        <w:t xml:space="preserve"> (“to know and say who someone is or what something is,” “to establish the identity of”)</w:t>
      </w:r>
      <w:r w:rsidR="003D75BD">
        <w:rPr>
          <w:rFonts w:cs="Times New Roman"/>
          <w:szCs w:val="24"/>
        </w:rPr>
        <w:t xml:space="preserve">, </w:t>
      </w:r>
      <w:hyperlink r:id="rId4" w:history="1">
        <w:r w:rsidR="003D75BD" w:rsidRPr="00A915F6">
          <w:rPr>
            <w:rStyle w:val="Hyperlink"/>
            <w:rFonts w:cs="Times New Roman"/>
            <w:szCs w:val="24"/>
          </w:rPr>
          <w:t>http://www.merriam-webster.com/dictionary/identify</w:t>
        </w:r>
      </w:hyperlink>
      <w:r w:rsidR="003D75BD">
        <w:rPr>
          <w:rFonts w:cs="Times New Roman"/>
          <w:szCs w:val="24"/>
        </w:rPr>
        <w:t xml:space="preserve"> (</w:t>
      </w:r>
      <w:r w:rsidR="003D75BD">
        <w:rPr>
          <w:szCs w:val="24"/>
        </w:rPr>
        <w:t xml:space="preserve">last visited Jan. 17, </w:t>
      </w:r>
      <w:r w:rsidR="003D75BD" w:rsidRPr="0085462C">
        <w:rPr>
          <w:szCs w:val="24"/>
        </w:rPr>
        <w:t>2014)</w:t>
      </w:r>
      <w:r w:rsidR="00FC03F5" w:rsidRPr="0085462C">
        <w:rPr>
          <w:rFonts w:cs="Times New Roman"/>
          <w:szCs w:val="24"/>
        </w:rPr>
        <w:t>.</w:t>
      </w:r>
    </w:p>
  </w:footnote>
  <w:footnote w:id="33">
    <w:p w:rsidR="000A7CE1" w:rsidRPr="0085462C" w:rsidRDefault="000A7CE1" w:rsidP="0085462C">
      <w:pPr>
        <w:pStyle w:val="FootnoteText"/>
        <w:spacing w:before="120" w:after="120"/>
        <w:rPr>
          <w:szCs w:val="24"/>
        </w:rPr>
      </w:pPr>
      <w:r w:rsidRPr="0085462C">
        <w:rPr>
          <w:rStyle w:val="FootnoteReference"/>
          <w:szCs w:val="24"/>
        </w:rPr>
        <w:footnoteRef/>
      </w:r>
      <w:r w:rsidRPr="0085462C">
        <w:rPr>
          <w:szCs w:val="24"/>
        </w:rPr>
        <w:t xml:space="preserve"> </w:t>
      </w:r>
      <w:r w:rsidRPr="0085462C">
        <w:rPr>
          <w:rFonts w:eastAsia="Cambria" w:cs="Times New Roman"/>
          <w:i/>
          <w:szCs w:val="24"/>
        </w:rPr>
        <w:t>U.S. v. Menasche</w:t>
      </w:r>
      <w:r w:rsidRPr="0085462C">
        <w:rPr>
          <w:rFonts w:eastAsia="Cambria" w:cs="Times New Roman"/>
          <w:szCs w:val="24"/>
        </w:rPr>
        <w:t xml:space="preserve">, 348 U.S. 528, 538-39 (1955) (a law must be read “to give effect, if possible, to every clause and word of a statute”); </w:t>
      </w:r>
      <w:r w:rsidRPr="0085462C">
        <w:rPr>
          <w:rFonts w:eastAsia="Cambria" w:cs="Times New Roman"/>
          <w:i/>
          <w:szCs w:val="24"/>
        </w:rPr>
        <w:t>Bausch &amp; Lomb, Inc. v. U.S.</w:t>
      </w:r>
      <w:r w:rsidRPr="0085462C">
        <w:rPr>
          <w:rFonts w:eastAsia="Cambria" w:cs="Times New Roman"/>
          <w:szCs w:val="24"/>
        </w:rPr>
        <w:t>, 148 F.3d 1363, 1367 (Fed. Cir. 1998) (“[W]e should construe the statute, if at all possible, to give effect and meaning to all terms.”</w:t>
      </w:r>
    </w:p>
  </w:footnote>
  <w:footnote w:id="34">
    <w:p w:rsidR="000A7CE1" w:rsidRPr="0085462C" w:rsidRDefault="000A7CE1" w:rsidP="0085462C">
      <w:pPr>
        <w:pStyle w:val="FootnoteText"/>
        <w:spacing w:before="120" w:after="120"/>
        <w:rPr>
          <w:szCs w:val="24"/>
        </w:rPr>
      </w:pPr>
      <w:r w:rsidRPr="0085462C">
        <w:rPr>
          <w:rStyle w:val="FootnoteReference"/>
          <w:szCs w:val="24"/>
        </w:rPr>
        <w:footnoteRef/>
      </w:r>
      <w:r w:rsidRPr="0085462C">
        <w:rPr>
          <w:szCs w:val="24"/>
        </w:rPr>
        <w:t xml:space="preserve"> </w:t>
      </w:r>
      <w:r w:rsidR="00E505DC" w:rsidRPr="0085462C">
        <w:rPr>
          <w:szCs w:val="24"/>
        </w:rPr>
        <w:t xml:space="preserve">47 U.S.C. </w:t>
      </w:r>
      <w:r w:rsidR="00E505DC" w:rsidRPr="0085462C">
        <w:rPr>
          <w:rFonts w:cs="Times New Roman"/>
          <w:szCs w:val="24"/>
        </w:rPr>
        <w:t>§</w:t>
      </w:r>
      <w:r w:rsidR="00E505DC" w:rsidRPr="0085462C">
        <w:rPr>
          <w:szCs w:val="24"/>
        </w:rPr>
        <w:t xml:space="preserve"> 222(h)(2) </w:t>
      </w:r>
      <w:r w:rsidRPr="0085462C">
        <w:rPr>
          <w:rFonts w:eastAsia="Cambria" w:cs="Times New Roman"/>
          <w:szCs w:val="24"/>
        </w:rPr>
        <w:t>(emphasis added).</w:t>
      </w:r>
    </w:p>
  </w:footnote>
  <w:footnote w:id="35">
    <w:p w:rsidR="00E505DC" w:rsidRPr="0085462C" w:rsidRDefault="00E505DC" w:rsidP="0085462C">
      <w:pPr>
        <w:pStyle w:val="FootnoteText"/>
        <w:spacing w:before="120" w:after="120"/>
        <w:rPr>
          <w:szCs w:val="24"/>
        </w:rPr>
      </w:pPr>
      <w:r w:rsidRPr="0085462C">
        <w:rPr>
          <w:rStyle w:val="FootnoteReference"/>
          <w:szCs w:val="24"/>
        </w:rPr>
        <w:footnoteRef/>
      </w:r>
      <w:r w:rsidRPr="0085462C">
        <w:rPr>
          <w:szCs w:val="24"/>
        </w:rPr>
        <w:t xml:space="preserve"> </w:t>
      </w:r>
      <w:r w:rsidRPr="0085462C">
        <w:rPr>
          <w:rFonts w:eastAsia="Cambria" w:cs="Times New Roman"/>
          <w:i/>
          <w:szCs w:val="24"/>
        </w:rPr>
        <w:t>Iselin v. U.S.</w:t>
      </w:r>
      <w:r w:rsidRPr="0085462C">
        <w:rPr>
          <w:rFonts w:eastAsia="Cambria" w:cs="Times New Roman"/>
          <w:szCs w:val="24"/>
        </w:rPr>
        <w:t>, 270 U.S. 245, 250</w:t>
      </w:r>
      <w:r w:rsidR="003D75BD">
        <w:rPr>
          <w:rFonts w:eastAsia="Cambria" w:cs="Times New Roman"/>
          <w:szCs w:val="24"/>
        </w:rPr>
        <w:t>-51</w:t>
      </w:r>
      <w:r w:rsidRPr="0085462C">
        <w:rPr>
          <w:rFonts w:eastAsia="Cambria" w:cs="Times New Roman"/>
          <w:szCs w:val="24"/>
        </w:rPr>
        <w:t xml:space="preserve"> (1926); </w:t>
      </w:r>
      <w:r w:rsidRPr="0085462C">
        <w:rPr>
          <w:rFonts w:eastAsia="Cambria" w:cs="Times New Roman"/>
          <w:i/>
          <w:szCs w:val="24"/>
        </w:rPr>
        <w:t>Lamie v. U.S. Trustee</w:t>
      </w:r>
      <w:r w:rsidRPr="0085462C">
        <w:rPr>
          <w:rFonts w:eastAsia="Cambria" w:cs="Times New Roman"/>
          <w:szCs w:val="24"/>
        </w:rPr>
        <w:t xml:space="preserve">, 540 U.S. 526, </w:t>
      </w:r>
      <w:r w:rsidR="003D75BD" w:rsidRPr="0085462C">
        <w:rPr>
          <w:rFonts w:eastAsia="Cambria" w:cs="Times New Roman"/>
          <w:szCs w:val="24"/>
        </w:rPr>
        <w:t>53</w:t>
      </w:r>
      <w:r w:rsidR="003D75BD">
        <w:rPr>
          <w:rFonts w:eastAsia="Cambria" w:cs="Times New Roman"/>
          <w:szCs w:val="24"/>
        </w:rPr>
        <w:t>8</w:t>
      </w:r>
      <w:r w:rsidR="003D75BD" w:rsidRPr="0085462C">
        <w:rPr>
          <w:rFonts w:eastAsia="Cambria" w:cs="Times New Roman"/>
          <w:szCs w:val="24"/>
        </w:rPr>
        <w:t xml:space="preserve"> </w:t>
      </w:r>
      <w:r w:rsidRPr="0085462C">
        <w:rPr>
          <w:rFonts w:eastAsia="Cambria" w:cs="Times New Roman"/>
          <w:szCs w:val="24"/>
        </w:rPr>
        <w:t>(2004) (courts should not add an “absent word” to a statute).</w:t>
      </w:r>
    </w:p>
  </w:footnote>
  <w:footnote w:id="36">
    <w:p w:rsidR="001C211E" w:rsidRPr="0085462C" w:rsidRDefault="001C211E" w:rsidP="0085462C">
      <w:pPr>
        <w:pStyle w:val="FootnoteText"/>
        <w:spacing w:before="120" w:after="120"/>
        <w:rPr>
          <w:szCs w:val="24"/>
        </w:rPr>
      </w:pPr>
      <w:r w:rsidRPr="0085462C">
        <w:rPr>
          <w:rStyle w:val="FootnoteReference"/>
          <w:szCs w:val="24"/>
        </w:rPr>
        <w:footnoteRef/>
      </w:r>
      <w:r w:rsidRPr="0085462C">
        <w:rPr>
          <w:szCs w:val="24"/>
        </w:rPr>
        <w:t xml:space="preserve"> </w:t>
      </w:r>
      <w:r w:rsidRPr="0085462C">
        <w:rPr>
          <w:i/>
          <w:szCs w:val="24"/>
        </w:rPr>
        <w:t xml:space="preserve">See Consumer Data Privacy in a Networked World: </w:t>
      </w:r>
      <w:r w:rsidR="008C602E">
        <w:rPr>
          <w:i/>
          <w:szCs w:val="24"/>
        </w:rPr>
        <w:t xml:space="preserve"> </w:t>
      </w:r>
      <w:r w:rsidRPr="0085462C">
        <w:rPr>
          <w:i/>
          <w:szCs w:val="24"/>
        </w:rPr>
        <w:t>A Framework for Protecting Privacy and Promoting Innovation in the Global Digital Economy</w:t>
      </w:r>
      <w:r w:rsidRPr="0085462C">
        <w:rPr>
          <w:szCs w:val="24"/>
        </w:rPr>
        <w:t xml:space="preserve"> </w:t>
      </w:r>
      <w:r w:rsidR="008C602E" w:rsidRPr="0085462C">
        <w:rPr>
          <w:szCs w:val="24"/>
        </w:rPr>
        <w:t xml:space="preserve">at 22-27 </w:t>
      </w:r>
      <w:r w:rsidRPr="0085462C">
        <w:rPr>
          <w:szCs w:val="24"/>
        </w:rPr>
        <w:t xml:space="preserve">(rel. Feb. 23, 2012) (“White House Privacy Blueprint”), available at </w:t>
      </w:r>
      <w:hyperlink r:id="rId5" w:history="1">
        <w:r w:rsidRPr="0085462C">
          <w:rPr>
            <w:rStyle w:val="Hyperlink"/>
            <w:szCs w:val="24"/>
          </w:rPr>
          <w:t>http://www.whitehouse.gov/sites/default/files/privacy-final.pdf</w:t>
        </w:r>
      </w:hyperlink>
      <w:r w:rsidRPr="0085462C">
        <w:rPr>
          <w:szCs w:val="24"/>
        </w:rPr>
        <w:t xml:space="preserve">. </w:t>
      </w:r>
    </w:p>
  </w:footnote>
  <w:footnote w:id="37">
    <w:p w:rsidR="001C211E" w:rsidRPr="0085462C" w:rsidRDefault="001C211E" w:rsidP="0085462C">
      <w:pPr>
        <w:pStyle w:val="FootnoteText"/>
        <w:spacing w:before="120" w:after="120"/>
        <w:rPr>
          <w:szCs w:val="24"/>
        </w:rPr>
      </w:pPr>
      <w:r w:rsidRPr="0085462C">
        <w:rPr>
          <w:rStyle w:val="FootnoteReference"/>
          <w:szCs w:val="24"/>
        </w:rPr>
        <w:footnoteRef/>
      </w:r>
      <w:r w:rsidRPr="0085462C">
        <w:rPr>
          <w:szCs w:val="24"/>
        </w:rPr>
        <w:t xml:space="preserve"> </w:t>
      </w:r>
      <w:r w:rsidRPr="0085462C">
        <w:rPr>
          <w:i/>
          <w:szCs w:val="24"/>
        </w:rPr>
        <w:t>2013 CPNI Mobile Device Declaratory Ruling</w:t>
      </w:r>
      <w:r w:rsidRPr="0085462C">
        <w:rPr>
          <w:szCs w:val="24"/>
        </w:rPr>
        <w:t>, 28 FCC Rcd at 9622.</w:t>
      </w:r>
    </w:p>
  </w:footnote>
  <w:footnote w:id="38">
    <w:p w:rsidR="00E22916" w:rsidRPr="0085462C" w:rsidRDefault="00E22916" w:rsidP="0085462C">
      <w:pPr>
        <w:pStyle w:val="FootnoteText"/>
        <w:spacing w:before="120" w:after="120"/>
        <w:rPr>
          <w:rFonts w:cs="Times New Roman"/>
          <w:szCs w:val="24"/>
        </w:rPr>
      </w:pPr>
      <w:r w:rsidRPr="0085462C">
        <w:rPr>
          <w:rStyle w:val="FootnoteReference"/>
          <w:szCs w:val="24"/>
        </w:rPr>
        <w:footnoteRef/>
      </w:r>
      <w:r w:rsidRPr="0085462C">
        <w:rPr>
          <w:szCs w:val="24"/>
        </w:rPr>
        <w:t xml:space="preserve"> </w:t>
      </w:r>
      <w:r w:rsidRPr="0085462C">
        <w:rPr>
          <w:rFonts w:cs="Times New Roman"/>
          <w:i/>
          <w:szCs w:val="24"/>
        </w:rPr>
        <w:t>Standards for Privacy of Individually Identifiable Health Information</w:t>
      </w:r>
      <w:r w:rsidRPr="0085462C">
        <w:rPr>
          <w:rFonts w:cs="Times New Roman"/>
          <w:szCs w:val="24"/>
        </w:rPr>
        <w:t>, 64 F</w:t>
      </w:r>
      <w:r w:rsidR="003D75BD">
        <w:rPr>
          <w:rFonts w:cs="Times New Roman"/>
          <w:szCs w:val="24"/>
        </w:rPr>
        <w:t xml:space="preserve">ed. </w:t>
      </w:r>
      <w:r w:rsidRPr="0085462C">
        <w:rPr>
          <w:rFonts w:cs="Times New Roman"/>
          <w:szCs w:val="24"/>
        </w:rPr>
        <w:t>R</w:t>
      </w:r>
      <w:r w:rsidR="003D75BD">
        <w:rPr>
          <w:rFonts w:cs="Times New Roman"/>
          <w:szCs w:val="24"/>
        </w:rPr>
        <w:t>eg.</w:t>
      </w:r>
      <w:r w:rsidRPr="0085462C">
        <w:rPr>
          <w:rFonts w:cs="Times New Roman"/>
          <w:szCs w:val="24"/>
        </w:rPr>
        <w:t xml:space="preserve"> 59918</w:t>
      </w:r>
      <w:r w:rsidR="003D75BD">
        <w:rPr>
          <w:rFonts w:cs="Times New Roman"/>
          <w:szCs w:val="24"/>
        </w:rPr>
        <w:t>, 59936</w:t>
      </w:r>
      <w:r w:rsidRPr="0085462C">
        <w:rPr>
          <w:rFonts w:cs="Times New Roman"/>
          <w:szCs w:val="24"/>
        </w:rPr>
        <w:t xml:space="preserve"> (</w:t>
      </w:r>
      <w:r w:rsidR="003D75BD">
        <w:rPr>
          <w:rFonts w:cs="Times New Roman"/>
          <w:szCs w:val="24"/>
        </w:rPr>
        <w:t xml:space="preserve">Nov. 3, </w:t>
      </w:r>
      <w:r w:rsidRPr="0085462C">
        <w:rPr>
          <w:rFonts w:cs="Times New Roman"/>
          <w:szCs w:val="24"/>
        </w:rPr>
        <w:t>1999)</w:t>
      </w:r>
      <w:r w:rsidR="003D75BD">
        <w:rPr>
          <w:rFonts w:cs="Times New Roman"/>
          <w:szCs w:val="24"/>
        </w:rPr>
        <w:t>,</w:t>
      </w:r>
      <w:r w:rsidRPr="0085462C">
        <w:rPr>
          <w:rFonts w:cs="Times New Roman"/>
          <w:szCs w:val="24"/>
        </w:rPr>
        <w:t xml:space="preserve"> </w:t>
      </w:r>
      <w:r w:rsidRPr="00A72675">
        <w:rPr>
          <w:rFonts w:cs="Times New Roman"/>
          <w:i/>
          <w:szCs w:val="24"/>
        </w:rPr>
        <w:t>adopted in</w:t>
      </w:r>
      <w:r w:rsidRPr="0085462C">
        <w:rPr>
          <w:rFonts w:cs="Times New Roman"/>
          <w:szCs w:val="24"/>
        </w:rPr>
        <w:t xml:space="preserve"> </w:t>
      </w:r>
      <w:r w:rsidRPr="0085462C">
        <w:rPr>
          <w:rFonts w:cs="Times New Roman"/>
          <w:i/>
          <w:szCs w:val="24"/>
        </w:rPr>
        <w:t>Standards for Privacy of Individually Identifiable Health Information</w:t>
      </w:r>
      <w:r w:rsidRPr="0085462C">
        <w:rPr>
          <w:rFonts w:cs="Times New Roman"/>
          <w:szCs w:val="24"/>
        </w:rPr>
        <w:t xml:space="preserve">, </w:t>
      </w:r>
      <w:r w:rsidR="003D75BD">
        <w:rPr>
          <w:rFonts w:cs="Times New Roman"/>
          <w:szCs w:val="24"/>
        </w:rPr>
        <w:t>Final Rule</w:t>
      </w:r>
      <w:r w:rsidRPr="0085462C">
        <w:rPr>
          <w:rFonts w:cs="Times New Roman"/>
          <w:szCs w:val="24"/>
        </w:rPr>
        <w:t>, 65 F</w:t>
      </w:r>
      <w:r w:rsidR="003D75BD">
        <w:rPr>
          <w:rFonts w:cs="Times New Roman"/>
          <w:szCs w:val="24"/>
        </w:rPr>
        <w:t xml:space="preserve">ed. </w:t>
      </w:r>
      <w:r w:rsidRPr="0085462C">
        <w:rPr>
          <w:rFonts w:cs="Times New Roman"/>
          <w:szCs w:val="24"/>
        </w:rPr>
        <w:t>R</w:t>
      </w:r>
      <w:r w:rsidR="003D75BD">
        <w:rPr>
          <w:rFonts w:cs="Times New Roman"/>
          <w:szCs w:val="24"/>
        </w:rPr>
        <w:t>eg.</w:t>
      </w:r>
      <w:r w:rsidRPr="0085462C">
        <w:rPr>
          <w:rFonts w:cs="Times New Roman"/>
          <w:szCs w:val="24"/>
        </w:rPr>
        <w:t xml:space="preserve"> 82462 (</w:t>
      </w:r>
      <w:r w:rsidR="003D75BD">
        <w:rPr>
          <w:rFonts w:cs="Times New Roman"/>
          <w:szCs w:val="24"/>
        </w:rPr>
        <w:t xml:space="preserve">Dec. 28, </w:t>
      </w:r>
      <w:r w:rsidRPr="0085462C">
        <w:rPr>
          <w:rFonts w:cs="Times New Roman"/>
          <w:szCs w:val="24"/>
        </w:rPr>
        <w:t>2000).</w:t>
      </w:r>
    </w:p>
  </w:footnote>
  <w:footnote w:id="39">
    <w:p w:rsidR="001C211E" w:rsidRPr="0085462C" w:rsidRDefault="001C211E" w:rsidP="0085462C">
      <w:pPr>
        <w:pStyle w:val="FootnoteText"/>
        <w:spacing w:before="120" w:after="120"/>
        <w:rPr>
          <w:szCs w:val="24"/>
        </w:rPr>
      </w:pPr>
      <w:r w:rsidRPr="0085462C">
        <w:rPr>
          <w:rStyle w:val="FootnoteReference"/>
          <w:szCs w:val="24"/>
        </w:rPr>
        <w:footnoteRef/>
      </w:r>
      <w:r w:rsidRPr="0085462C">
        <w:rPr>
          <w:szCs w:val="24"/>
        </w:rPr>
        <w:t xml:space="preserve"> </w:t>
      </w:r>
      <w:r w:rsidR="00E22916" w:rsidRPr="0085462C">
        <w:rPr>
          <w:i/>
          <w:szCs w:val="24"/>
        </w:rPr>
        <w:t>Id.</w:t>
      </w:r>
    </w:p>
  </w:footnote>
  <w:footnote w:id="40">
    <w:p w:rsidR="001C211E" w:rsidRPr="0085462C" w:rsidRDefault="001C211E" w:rsidP="0085462C">
      <w:pPr>
        <w:pStyle w:val="FootnoteText"/>
        <w:spacing w:before="120" w:after="120"/>
        <w:rPr>
          <w:szCs w:val="24"/>
        </w:rPr>
      </w:pPr>
      <w:r w:rsidRPr="0085462C">
        <w:rPr>
          <w:rStyle w:val="FootnoteReference"/>
          <w:szCs w:val="24"/>
        </w:rPr>
        <w:footnoteRef/>
      </w:r>
      <w:r w:rsidRPr="0085462C">
        <w:rPr>
          <w:szCs w:val="24"/>
        </w:rPr>
        <w:t xml:space="preserve"> </w:t>
      </w:r>
      <w:r w:rsidR="00861294" w:rsidRPr="0085462C">
        <w:rPr>
          <w:szCs w:val="24"/>
        </w:rPr>
        <w:t>White House Privacy Blueprint at 23.</w:t>
      </w:r>
    </w:p>
  </w:footnote>
  <w:footnote w:id="41">
    <w:p w:rsidR="001C211E" w:rsidRPr="00371B19" w:rsidRDefault="001C211E" w:rsidP="0085462C">
      <w:pPr>
        <w:pStyle w:val="FootnoteText"/>
        <w:spacing w:before="120" w:after="120"/>
        <w:rPr>
          <w:szCs w:val="24"/>
        </w:rPr>
      </w:pPr>
      <w:r w:rsidRPr="0085462C">
        <w:rPr>
          <w:rStyle w:val="FootnoteReference"/>
          <w:szCs w:val="24"/>
        </w:rPr>
        <w:footnoteRef/>
      </w:r>
      <w:r w:rsidRPr="0085462C">
        <w:rPr>
          <w:szCs w:val="24"/>
        </w:rPr>
        <w:t xml:space="preserve"> </w:t>
      </w:r>
      <w:r w:rsidR="00861294" w:rsidRPr="0085462C">
        <w:rPr>
          <w:i/>
          <w:szCs w:val="24"/>
        </w:rPr>
        <w:t>Id.</w:t>
      </w:r>
      <w:r w:rsidR="003D75BD">
        <w:rPr>
          <w:szCs w:val="24"/>
        </w:rPr>
        <w:t xml:space="preserve"> at 25-27.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E1" w:rsidRDefault="000A7C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34CCA2"/>
    <w:lvl w:ilvl="0">
      <w:start w:val="1"/>
      <w:numFmt w:val="decimal"/>
      <w:lvlText w:val="%1."/>
      <w:lvlJc w:val="left"/>
      <w:pPr>
        <w:tabs>
          <w:tab w:val="num" w:pos="1800"/>
        </w:tabs>
        <w:ind w:left="1800" w:hanging="360"/>
      </w:pPr>
    </w:lvl>
  </w:abstractNum>
  <w:abstractNum w:abstractNumId="1">
    <w:nsid w:val="FFFFFF7D"/>
    <w:multiLevelType w:val="singleLevel"/>
    <w:tmpl w:val="BB36838E"/>
    <w:lvl w:ilvl="0">
      <w:start w:val="1"/>
      <w:numFmt w:val="decimal"/>
      <w:lvlText w:val="%1."/>
      <w:lvlJc w:val="left"/>
      <w:pPr>
        <w:tabs>
          <w:tab w:val="num" w:pos="1440"/>
        </w:tabs>
        <w:ind w:left="1440" w:hanging="360"/>
      </w:pPr>
    </w:lvl>
  </w:abstractNum>
  <w:abstractNum w:abstractNumId="2">
    <w:nsid w:val="FFFFFF7E"/>
    <w:multiLevelType w:val="singleLevel"/>
    <w:tmpl w:val="306051D2"/>
    <w:lvl w:ilvl="0">
      <w:start w:val="1"/>
      <w:numFmt w:val="decimal"/>
      <w:lvlText w:val="%1."/>
      <w:lvlJc w:val="left"/>
      <w:pPr>
        <w:tabs>
          <w:tab w:val="num" w:pos="1080"/>
        </w:tabs>
        <w:ind w:left="1080" w:hanging="360"/>
      </w:pPr>
    </w:lvl>
  </w:abstractNum>
  <w:abstractNum w:abstractNumId="3">
    <w:nsid w:val="FFFFFF7F"/>
    <w:multiLevelType w:val="singleLevel"/>
    <w:tmpl w:val="4588C160"/>
    <w:lvl w:ilvl="0">
      <w:start w:val="1"/>
      <w:numFmt w:val="decimal"/>
      <w:lvlText w:val="%1."/>
      <w:lvlJc w:val="left"/>
      <w:pPr>
        <w:tabs>
          <w:tab w:val="num" w:pos="720"/>
        </w:tabs>
        <w:ind w:left="720" w:hanging="360"/>
      </w:pPr>
    </w:lvl>
  </w:abstractNum>
  <w:abstractNum w:abstractNumId="4">
    <w:nsid w:val="FFFFFF80"/>
    <w:multiLevelType w:val="singleLevel"/>
    <w:tmpl w:val="306634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B0081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5B4B5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09AFC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65C6EB6"/>
    <w:lvl w:ilvl="0">
      <w:start w:val="1"/>
      <w:numFmt w:val="decimal"/>
      <w:lvlText w:val="%1."/>
      <w:lvlJc w:val="left"/>
      <w:pPr>
        <w:tabs>
          <w:tab w:val="num" w:pos="360"/>
        </w:tabs>
        <w:ind w:left="360" w:hanging="360"/>
      </w:pPr>
    </w:lvl>
  </w:abstractNum>
  <w:abstractNum w:abstractNumId="9">
    <w:nsid w:val="FFFFFF89"/>
    <w:multiLevelType w:val="singleLevel"/>
    <w:tmpl w:val="1056EE7C"/>
    <w:lvl w:ilvl="0">
      <w:start w:val="1"/>
      <w:numFmt w:val="bullet"/>
      <w:lvlText w:val=""/>
      <w:lvlJc w:val="left"/>
      <w:pPr>
        <w:tabs>
          <w:tab w:val="num" w:pos="360"/>
        </w:tabs>
        <w:ind w:left="360" w:hanging="360"/>
      </w:pPr>
      <w:rPr>
        <w:rFonts w:ascii="Symbol" w:hAnsi="Symbol" w:hint="default"/>
      </w:rPr>
    </w:lvl>
  </w:abstractNum>
  <w:abstractNum w:abstractNumId="10">
    <w:nsid w:val="115516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3026407"/>
    <w:multiLevelType w:val="hybridMultilevel"/>
    <w:tmpl w:val="7AF45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22A4CC8"/>
    <w:multiLevelType w:val="hybridMultilevel"/>
    <w:tmpl w:val="C47A1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6878D7"/>
    <w:multiLevelType w:val="multilevel"/>
    <w:tmpl w:val="207EC4A8"/>
    <w:lvl w:ilvl="0">
      <w:start w:val="1"/>
      <w:numFmt w:val="upperRoman"/>
      <w:pStyle w:val="Heading1"/>
      <w:lvlText w:val="%1."/>
      <w:lvlJc w:val="left"/>
      <w:pPr>
        <w:tabs>
          <w:tab w:val="num" w:pos="0"/>
        </w:tabs>
        <w:ind w:left="72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rPr>
    </w:lvl>
    <w:lvl w:ilvl="1">
      <w:start w:val="1"/>
      <w:numFmt w:val="upperLetter"/>
      <w:pStyle w:val="Heading2"/>
      <w:lvlText w:val="%2."/>
      <w:lvlJc w:val="left"/>
      <w:pPr>
        <w:tabs>
          <w:tab w:val="num" w:pos="0"/>
        </w:tabs>
        <w:ind w:left="144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rPr>
    </w:lvl>
    <w:lvl w:ilvl="2">
      <w:start w:val="1"/>
      <w:numFmt w:val="decimal"/>
      <w:pStyle w:val="Heading3"/>
      <w:lvlText w:val="%3."/>
      <w:lvlJc w:val="left"/>
      <w:pPr>
        <w:tabs>
          <w:tab w:val="num" w:pos="0"/>
        </w:tabs>
        <w:ind w:left="216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rPr>
    </w:lvl>
    <w:lvl w:ilvl="3">
      <w:start w:val="1"/>
      <w:numFmt w:val="lowerLetter"/>
      <w:pStyle w:val="Heading4"/>
      <w:lvlText w:val="%4."/>
      <w:lvlJc w:val="left"/>
      <w:pPr>
        <w:tabs>
          <w:tab w:val="num" w:pos="0"/>
        </w:tabs>
        <w:ind w:left="288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rPr>
    </w:lvl>
    <w:lvl w:ilvl="4">
      <w:start w:val="1"/>
      <w:numFmt w:val="decimal"/>
      <w:pStyle w:val="Heading5"/>
      <w:lvlText w:val="%5)"/>
      <w:lvlJc w:val="left"/>
      <w:pPr>
        <w:tabs>
          <w:tab w:val="num" w:pos="0"/>
        </w:tabs>
        <w:ind w:left="288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5">
      <w:start w:val="1"/>
      <w:numFmt w:val="lowerLetter"/>
      <w:pStyle w:val="Heading6"/>
      <w:lvlText w:val="%6)"/>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rPr>
    </w:lvl>
    <w:lvl w:ilvl="6">
      <w:start w:val="1"/>
      <w:numFmt w:val="lowerRoman"/>
      <w:pStyle w:val="Heading7"/>
      <w:lvlText w:val="%7."/>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rPr>
    </w:lvl>
    <w:lvl w:ilvl="7">
      <w:start w:val="1"/>
      <w:numFmt w:val="lowerLetter"/>
      <w:pStyle w:val="Heading8"/>
      <w:lvlText w:val="%8."/>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rPr>
    </w:lvl>
    <w:lvl w:ilvl="8">
      <w:start w:val="1"/>
      <w:numFmt w:val="lowerRoman"/>
      <w:pStyle w:val="Heading9"/>
      <w:lvlText w:val="%9)"/>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rPr>
    </w:lvl>
  </w:abstractNum>
  <w:abstractNum w:abstractNumId="14">
    <w:nsid w:val="40F111C6"/>
    <w:multiLevelType w:val="hybridMultilevel"/>
    <w:tmpl w:val="3DAC7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5E473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8E40BA0"/>
    <w:multiLevelType w:val="hybridMultilevel"/>
    <w:tmpl w:val="2AA2F878"/>
    <w:lvl w:ilvl="0" w:tplc="AD6A5890">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4C6A20"/>
    <w:multiLevelType w:val="hybridMultilevel"/>
    <w:tmpl w:val="C58074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4DA455A7"/>
    <w:multiLevelType w:val="hybridMultilevel"/>
    <w:tmpl w:val="82A80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0CB5518"/>
    <w:multiLevelType w:val="hybridMultilevel"/>
    <w:tmpl w:val="936E4904"/>
    <w:lvl w:ilvl="0" w:tplc="87E4A5C6">
      <w:start w:val="1"/>
      <w:numFmt w:val="upperRoman"/>
      <w:lvlText w:val="%1."/>
      <w:lvlJc w:val="left"/>
      <w:pPr>
        <w:ind w:left="1080" w:hanging="720"/>
      </w:pPr>
    </w:lvl>
    <w:lvl w:ilvl="1" w:tplc="1088B7B4">
      <w:start w:val="1"/>
      <w:numFmt w:val="upperLetter"/>
      <w:lvlText w:val="%2."/>
      <w:lvlJc w:val="left"/>
      <w:pPr>
        <w:ind w:left="1440" w:hanging="360"/>
      </w:pPr>
      <w:rPr>
        <w:b/>
      </w:rPr>
    </w:lvl>
    <w:lvl w:ilvl="2" w:tplc="70E8DF5E">
      <w:start w:val="1"/>
      <w:numFmt w:val="decimal"/>
      <w:lvlText w:val="%3."/>
      <w:lvlJc w:val="left"/>
      <w:pPr>
        <w:ind w:left="81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FC258E3"/>
    <w:multiLevelType w:val="hybridMultilevel"/>
    <w:tmpl w:val="68B6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3"/>
  </w:num>
  <w:num w:numId="4">
    <w:abstractNumId w:val="1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1"/>
  </w:num>
  <w:num w:numId="8">
    <w:abstractNumId w:val="14"/>
  </w:num>
  <w:num w:numId="9">
    <w:abstractNumId w:val="13"/>
  </w:num>
  <w:num w:numId="10">
    <w:abstractNumId w:val="19"/>
  </w:num>
  <w:num w:numId="11">
    <w:abstractNumId w:val="12"/>
  </w:num>
  <w:num w:numId="12">
    <w:abstractNumId w:val="20"/>
  </w:num>
  <w:num w:numId="13">
    <w:abstractNumId w:val="13"/>
  </w:num>
  <w:num w:numId="14">
    <w:abstractNumId w:val="13"/>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1024"/>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liInnovaVariables" w:val="c=SWILI1ContentsA`c=SWILI2ContentsA`c=SWILI2PartyA`c=SWILI2VersusA`c=SWILI2ContentsB`c=SWILI2PartyB`c=SWILI2VersusB`c=SWILI2ContentsC`c=SWILI2PartyC`b=Attorneys`b=Attorneys1`b=Caption`b=CaptionRef`b=cusCaptionBox`b=cusCaptionVer20`b=FilingDate`b=FilingDate1`b=NoCover`b=swiBeginHere`b=swiLastCellLeft`b=swiMergeCells`b=swiOFAutoCityStateZipCountryHoriz`b=swiOFAutoCityStateZipCountryHoriz1`b=swiOFCompanyName`b=swiOFCompanyName1`b=swiOFPhone`b=swiOFPhone1`b=swiOFStreetAddressHoriz`b=swiOFStreetAddressHoriz1`b=txtClient`b=TXTCLIENT1`b=txtDocketNo`b=TXTTITLE`b=TXTTITLE1`b=zZTable`"/>
    <w:docVar w:name="SWActiveDesign" w:val="Heading"/>
    <w:docVar w:name="SWAllDesigns" w:val="Heading|"/>
    <w:docVar w:name="SWAllLineBreaks" w:val="Heading~~0|0|0|0|0|0|0|0|0|@@"/>
    <w:docVar w:name="SWBasicControls" w:val="FCC Pleading=`FilingDate=01/17/2014`SWICalendarDate_DateFormat=MM/dd/yyyy`SWICalendarDate_CalendarDate=1/17/2014 12:00:00 AM`cmdCancel=Cancel`cmdOK=OK`QuickFillSave=`QuickFillOpen=`PleadingType=Rulemaking`Location=DC`txtTo=`txtTitle=CTIA Comment Outline on Public Knowledge CPNI Petition`txtDocketNo=WC Docket No. 13-306`txtClient=CTIA-The Wireless Association`lblTo=To:`lblTitle=Title:`lblPleadingType=Pleading Type:`lblFilingDate=Filing Date:`lblDocketNo=Docket No:`lblClient=Client:`lblAttorneys=&amp;Attorneys:`"/>
    <w:docVar w:name="SWCLCContacts" w:val="Attorneys=0;"/>
    <w:docVar w:name="SWCLCString1" w:val="&lt;Dialog&gt;&lt;Attorneys&gt;&lt;AutoSalutation&gt;false&lt;/AutoSalutation&gt;&lt;SignatureBlock&gt;Multiple By Line (Right Column)&lt;/SignatureBlock&gt;&lt;Contacts /&gt;&lt;/Attorneys&gt;&lt;/Dialog&gt;"/>
    <w:docVar w:name="SWOtherInfo" w:val="DocTypeID=4|FormID=10006|"/>
    <w:docVar w:name="SWPleadingSuite" w:val="SWILI1NumParties=1`SWILI1ContentsA=Petition of Public Knowledge et al. for Declaratory Ruling Stating that the Sale of Non-Aggregate Call Records by Telecommunications Providers without Customers’ Consent Violates Section 222 of the Communications Act`SWILI1VersusA=v.`SWILI1PartyA=&lt;none&gt;`SWILI1ContentsB=`SWILI1VersusB=`SWILI1PartyB=`NumCaptions=1`SWIBorderTop=0`SWIBorderBottom=0`SWIBorderTopCorner=0`SWIBorderBottomCorner=0`SWIBorderRight=2 - )_x000D__x000A_`VenuePath=FCC Pleading|North America|United States|Federal System|Federal Communications Commission`"/>
    <w:docVar w:name="SWTOCLevelsInfo" w:val="2=2|.ºº|2|0|0|@@3=2|.ºº|3|0|0|@@4=2|.ºº|3|0|0|@@5=2|.ºº|3|0|0|@@1=1|.ºº|2|0|0|@@"/>
    <w:docVar w:name="SWTOCLinkToLevel" w:val="Heading 1=2|Heading 2=3|Heading 3=4|Heading 4=5|Subtitle=1|"/>
    <w:docVar w:name="SWTOCOtherProperties" w:val="InsertStyleSeparators=-1|"/>
    <w:docVar w:name="SWTOCProperties" w:val="2|0|0|0|0|0|3|"/>
  </w:docVars>
  <w:rsids>
    <w:rsidRoot w:val="00431C4E"/>
    <w:rsid w:val="00002674"/>
    <w:rsid w:val="000149CE"/>
    <w:rsid w:val="000155FC"/>
    <w:rsid w:val="000352FF"/>
    <w:rsid w:val="000435C8"/>
    <w:rsid w:val="00057A48"/>
    <w:rsid w:val="00065562"/>
    <w:rsid w:val="000776C7"/>
    <w:rsid w:val="00080F1B"/>
    <w:rsid w:val="00083AE0"/>
    <w:rsid w:val="00084FAC"/>
    <w:rsid w:val="000A56C6"/>
    <w:rsid w:val="000A7CE1"/>
    <w:rsid w:val="000B1D89"/>
    <w:rsid w:val="000B6B76"/>
    <w:rsid w:val="000C0AF3"/>
    <w:rsid w:val="000D25F2"/>
    <w:rsid w:val="000E0DF3"/>
    <w:rsid w:val="001064C6"/>
    <w:rsid w:val="00140B2E"/>
    <w:rsid w:val="00147900"/>
    <w:rsid w:val="00156BC5"/>
    <w:rsid w:val="00160F14"/>
    <w:rsid w:val="00171C29"/>
    <w:rsid w:val="00174965"/>
    <w:rsid w:val="00176398"/>
    <w:rsid w:val="001C211E"/>
    <w:rsid w:val="002040DF"/>
    <w:rsid w:val="00233FA5"/>
    <w:rsid w:val="00234092"/>
    <w:rsid w:val="002354E4"/>
    <w:rsid w:val="00235C18"/>
    <w:rsid w:val="00241BB1"/>
    <w:rsid w:val="00244EB8"/>
    <w:rsid w:val="0028338C"/>
    <w:rsid w:val="002854B8"/>
    <w:rsid w:val="002B5114"/>
    <w:rsid w:val="002B546E"/>
    <w:rsid w:val="002E3B6F"/>
    <w:rsid w:val="003258B3"/>
    <w:rsid w:val="00344E05"/>
    <w:rsid w:val="00371B19"/>
    <w:rsid w:val="00377245"/>
    <w:rsid w:val="00383BA1"/>
    <w:rsid w:val="003951E2"/>
    <w:rsid w:val="003A2826"/>
    <w:rsid w:val="003A4659"/>
    <w:rsid w:val="003A5396"/>
    <w:rsid w:val="003B46D0"/>
    <w:rsid w:val="003B7218"/>
    <w:rsid w:val="003D6956"/>
    <w:rsid w:val="003D75BD"/>
    <w:rsid w:val="003E197C"/>
    <w:rsid w:val="003E29AB"/>
    <w:rsid w:val="003F3375"/>
    <w:rsid w:val="00407A77"/>
    <w:rsid w:val="004106B5"/>
    <w:rsid w:val="00415CB9"/>
    <w:rsid w:val="00423177"/>
    <w:rsid w:val="00423192"/>
    <w:rsid w:val="00431C4E"/>
    <w:rsid w:val="00436DAF"/>
    <w:rsid w:val="00455C0E"/>
    <w:rsid w:val="00456368"/>
    <w:rsid w:val="0046344B"/>
    <w:rsid w:val="00472AE7"/>
    <w:rsid w:val="004A41C3"/>
    <w:rsid w:val="004A7387"/>
    <w:rsid w:val="004C473E"/>
    <w:rsid w:val="004D4634"/>
    <w:rsid w:val="00516F49"/>
    <w:rsid w:val="005209A1"/>
    <w:rsid w:val="005250F0"/>
    <w:rsid w:val="00530DAA"/>
    <w:rsid w:val="00533B36"/>
    <w:rsid w:val="0055783F"/>
    <w:rsid w:val="00585AC8"/>
    <w:rsid w:val="005A4ECF"/>
    <w:rsid w:val="005B18F5"/>
    <w:rsid w:val="005E1E3D"/>
    <w:rsid w:val="005E3E24"/>
    <w:rsid w:val="006030E8"/>
    <w:rsid w:val="00606020"/>
    <w:rsid w:val="006174D8"/>
    <w:rsid w:val="00620327"/>
    <w:rsid w:val="00621372"/>
    <w:rsid w:val="00646C2D"/>
    <w:rsid w:val="006764B3"/>
    <w:rsid w:val="00684C06"/>
    <w:rsid w:val="00697A27"/>
    <w:rsid w:val="006B010D"/>
    <w:rsid w:val="006B23DC"/>
    <w:rsid w:val="006C387B"/>
    <w:rsid w:val="006C61ED"/>
    <w:rsid w:val="006D243E"/>
    <w:rsid w:val="006D2E40"/>
    <w:rsid w:val="006D3F0B"/>
    <w:rsid w:val="007111AC"/>
    <w:rsid w:val="007116D9"/>
    <w:rsid w:val="00712D5A"/>
    <w:rsid w:val="0071554E"/>
    <w:rsid w:val="0072099E"/>
    <w:rsid w:val="00723BC6"/>
    <w:rsid w:val="00725B21"/>
    <w:rsid w:val="007312EA"/>
    <w:rsid w:val="00740252"/>
    <w:rsid w:val="00766720"/>
    <w:rsid w:val="0078145C"/>
    <w:rsid w:val="007973F7"/>
    <w:rsid w:val="007B2423"/>
    <w:rsid w:val="007B29B3"/>
    <w:rsid w:val="007E1696"/>
    <w:rsid w:val="007F1147"/>
    <w:rsid w:val="007F59CC"/>
    <w:rsid w:val="00811EFF"/>
    <w:rsid w:val="00826873"/>
    <w:rsid w:val="0085462C"/>
    <w:rsid w:val="0086074D"/>
    <w:rsid w:val="00861294"/>
    <w:rsid w:val="00867768"/>
    <w:rsid w:val="00872764"/>
    <w:rsid w:val="00876216"/>
    <w:rsid w:val="008904ED"/>
    <w:rsid w:val="008942E4"/>
    <w:rsid w:val="008B6376"/>
    <w:rsid w:val="008C256A"/>
    <w:rsid w:val="008C602E"/>
    <w:rsid w:val="008D5129"/>
    <w:rsid w:val="00940DB9"/>
    <w:rsid w:val="00973470"/>
    <w:rsid w:val="00975FB6"/>
    <w:rsid w:val="00983ECA"/>
    <w:rsid w:val="00991F06"/>
    <w:rsid w:val="009A502F"/>
    <w:rsid w:val="009A5E0F"/>
    <w:rsid w:val="009B78A9"/>
    <w:rsid w:val="009C1CBA"/>
    <w:rsid w:val="009C3120"/>
    <w:rsid w:val="009C5E9C"/>
    <w:rsid w:val="009C7C37"/>
    <w:rsid w:val="009D1962"/>
    <w:rsid w:val="009D4D48"/>
    <w:rsid w:val="009F0814"/>
    <w:rsid w:val="009F0BB2"/>
    <w:rsid w:val="00A11708"/>
    <w:rsid w:val="00A279ED"/>
    <w:rsid w:val="00A36642"/>
    <w:rsid w:val="00A72675"/>
    <w:rsid w:val="00A85D27"/>
    <w:rsid w:val="00A8685D"/>
    <w:rsid w:val="00A93D77"/>
    <w:rsid w:val="00AB0F36"/>
    <w:rsid w:val="00AE4F03"/>
    <w:rsid w:val="00AE7131"/>
    <w:rsid w:val="00AE760C"/>
    <w:rsid w:val="00AF4E45"/>
    <w:rsid w:val="00AF6678"/>
    <w:rsid w:val="00B1439C"/>
    <w:rsid w:val="00B20FF0"/>
    <w:rsid w:val="00B708B9"/>
    <w:rsid w:val="00B72F05"/>
    <w:rsid w:val="00B74715"/>
    <w:rsid w:val="00B76EC9"/>
    <w:rsid w:val="00BB7E66"/>
    <w:rsid w:val="00BB7EB6"/>
    <w:rsid w:val="00BC5424"/>
    <w:rsid w:val="00BF02D9"/>
    <w:rsid w:val="00C04CFD"/>
    <w:rsid w:val="00C11787"/>
    <w:rsid w:val="00C27C59"/>
    <w:rsid w:val="00C614ED"/>
    <w:rsid w:val="00C61A9E"/>
    <w:rsid w:val="00C73319"/>
    <w:rsid w:val="00C94D1E"/>
    <w:rsid w:val="00C96AFB"/>
    <w:rsid w:val="00CC48F9"/>
    <w:rsid w:val="00CD503F"/>
    <w:rsid w:val="00CD7070"/>
    <w:rsid w:val="00CE0BA9"/>
    <w:rsid w:val="00CF13AF"/>
    <w:rsid w:val="00D00BBA"/>
    <w:rsid w:val="00D45D84"/>
    <w:rsid w:val="00D62F57"/>
    <w:rsid w:val="00D77520"/>
    <w:rsid w:val="00D8660B"/>
    <w:rsid w:val="00D967F6"/>
    <w:rsid w:val="00DB449D"/>
    <w:rsid w:val="00DF13D6"/>
    <w:rsid w:val="00DF199F"/>
    <w:rsid w:val="00E001AB"/>
    <w:rsid w:val="00E157EF"/>
    <w:rsid w:val="00E22916"/>
    <w:rsid w:val="00E25EBB"/>
    <w:rsid w:val="00E31574"/>
    <w:rsid w:val="00E505DC"/>
    <w:rsid w:val="00E55DE9"/>
    <w:rsid w:val="00E67009"/>
    <w:rsid w:val="00E81777"/>
    <w:rsid w:val="00E97CEC"/>
    <w:rsid w:val="00EA7524"/>
    <w:rsid w:val="00EB1D52"/>
    <w:rsid w:val="00EC0AC8"/>
    <w:rsid w:val="00ED6738"/>
    <w:rsid w:val="00EF1D7D"/>
    <w:rsid w:val="00F72765"/>
    <w:rsid w:val="00F93FB6"/>
    <w:rsid w:val="00F96044"/>
    <w:rsid w:val="00FC03F5"/>
    <w:rsid w:val="00FD4B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Signature" w:semiHidden="0" w:unhideWhenUsed="0" w:qFormat="1"/>
    <w:lsdException w:name="Default Paragraph Font" w:uiPriority="1"/>
    <w:lsdException w:name="Body Text" w:qFormat="1"/>
    <w:lsdException w:name="Subtitle" w:semiHidden="0" w:uiPriority="11" w:unhideWhenUsed="0" w:qFormat="1"/>
    <w:lsdException w:name="Body Text 2" w:uiPriority="1" w:qFormat="1"/>
    <w:lsdException w:name="Block Text"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E24"/>
    <w:pPr>
      <w:spacing w:after="0" w:line="240" w:lineRule="auto"/>
    </w:pPr>
    <w:rPr>
      <w:rFonts w:ascii="Times New Roman" w:hAnsi="Times New Roman"/>
      <w:sz w:val="24"/>
    </w:rPr>
  </w:style>
  <w:style w:type="paragraph" w:styleId="Heading1">
    <w:name w:val="heading 1"/>
    <w:basedOn w:val="Normal"/>
    <w:next w:val="BodyText2"/>
    <w:link w:val="Heading1Char"/>
    <w:uiPriority w:val="9"/>
    <w:qFormat/>
    <w:rsid w:val="000149CE"/>
    <w:pPr>
      <w:keepNext/>
      <w:numPr>
        <w:numId w:val="3"/>
      </w:numPr>
      <w:spacing w:after="240"/>
      <w:outlineLvl w:val="0"/>
    </w:pPr>
    <w:rPr>
      <w:rFonts w:ascii="Times New Roman Bold" w:eastAsiaTheme="majorEastAsia" w:hAnsi="Times New Roman Bold" w:cstheme="majorBidi"/>
      <w:b/>
      <w:bCs/>
      <w:caps/>
      <w:szCs w:val="28"/>
    </w:rPr>
  </w:style>
  <w:style w:type="paragraph" w:styleId="Heading2">
    <w:name w:val="heading 2"/>
    <w:basedOn w:val="Normal"/>
    <w:next w:val="BodyText2"/>
    <w:link w:val="Heading2Char"/>
    <w:uiPriority w:val="9"/>
    <w:unhideWhenUsed/>
    <w:qFormat/>
    <w:rsid w:val="00B1439C"/>
    <w:pPr>
      <w:keepNext/>
      <w:numPr>
        <w:ilvl w:val="1"/>
        <w:numId w:val="3"/>
      </w:numPr>
      <w:spacing w:after="240"/>
      <w:outlineLvl w:val="1"/>
    </w:pPr>
    <w:rPr>
      <w:rFonts w:eastAsia="Cambria" w:cstheme="majorBidi"/>
      <w:bCs/>
      <w:i/>
      <w:caps/>
      <w:szCs w:val="26"/>
    </w:rPr>
  </w:style>
  <w:style w:type="paragraph" w:styleId="Heading3">
    <w:name w:val="heading 3"/>
    <w:basedOn w:val="Normal"/>
    <w:next w:val="BodyText2"/>
    <w:link w:val="Heading3Char"/>
    <w:uiPriority w:val="9"/>
    <w:semiHidden/>
    <w:unhideWhenUsed/>
    <w:qFormat/>
    <w:rsid w:val="000149CE"/>
    <w:pPr>
      <w:keepNext/>
      <w:numPr>
        <w:ilvl w:val="2"/>
        <w:numId w:val="3"/>
      </w:numPr>
      <w:spacing w:after="240"/>
      <w:outlineLvl w:val="2"/>
    </w:pPr>
    <w:rPr>
      <w:rFonts w:eastAsiaTheme="majorEastAsia" w:cstheme="majorBidi"/>
      <w:b/>
      <w:bCs/>
      <w:smallCaps/>
    </w:rPr>
  </w:style>
  <w:style w:type="paragraph" w:styleId="Heading4">
    <w:name w:val="heading 4"/>
    <w:basedOn w:val="Normal"/>
    <w:next w:val="BodyText2"/>
    <w:link w:val="Heading4Char"/>
    <w:uiPriority w:val="9"/>
    <w:semiHidden/>
    <w:unhideWhenUsed/>
    <w:qFormat/>
    <w:rsid w:val="000149CE"/>
    <w:pPr>
      <w:keepNext/>
      <w:numPr>
        <w:ilvl w:val="3"/>
        <w:numId w:val="3"/>
      </w:numPr>
      <w:spacing w:after="240"/>
      <w:outlineLvl w:val="3"/>
    </w:pPr>
    <w:rPr>
      <w:rFonts w:eastAsiaTheme="majorEastAsia" w:cstheme="majorBidi"/>
      <w:bCs/>
      <w:i/>
      <w:iCs/>
      <w:smallCaps/>
    </w:rPr>
  </w:style>
  <w:style w:type="paragraph" w:styleId="Heading5">
    <w:name w:val="heading 5"/>
    <w:basedOn w:val="Normal"/>
    <w:next w:val="BodyText2"/>
    <w:link w:val="Heading5Char"/>
    <w:uiPriority w:val="9"/>
    <w:semiHidden/>
    <w:unhideWhenUsed/>
    <w:qFormat/>
    <w:rsid w:val="000149CE"/>
    <w:pPr>
      <w:keepNext/>
      <w:numPr>
        <w:ilvl w:val="4"/>
        <w:numId w:val="3"/>
      </w:numPr>
      <w:spacing w:after="240"/>
      <w:outlineLvl w:val="4"/>
    </w:pPr>
    <w:rPr>
      <w:rFonts w:eastAsiaTheme="majorEastAsia" w:cstheme="majorBidi"/>
      <w:b/>
    </w:rPr>
  </w:style>
  <w:style w:type="paragraph" w:styleId="Heading6">
    <w:name w:val="heading 6"/>
    <w:basedOn w:val="Normal"/>
    <w:next w:val="BodyText2"/>
    <w:link w:val="Heading6Char"/>
    <w:uiPriority w:val="9"/>
    <w:semiHidden/>
    <w:unhideWhenUsed/>
    <w:qFormat/>
    <w:rsid w:val="000149CE"/>
    <w:pPr>
      <w:keepNext/>
      <w:numPr>
        <w:ilvl w:val="5"/>
        <w:numId w:val="3"/>
      </w:numPr>
      <w:spacing w:after="240"/>
      <w:outlineLvl w:val="5"/>
    </w:pPr>
    <w:rPr>
      <w:rFonts w:eastAsiaTheme="majorEastAsia" w:cstheme="majorBidi"/>
      <w:i/>
      <w:iCs/>
    </w:rPr>
  </w:style>
  <w:style w:type="paragraph" w:styleId="Heading7">
    <w:name w:val="heading 7"/>
    <w:basedOn w:val="Normal"/>
    <w:next w:val="BodyText2"/>
    <w:link w:val="Heading7Char"/>
    <w:uiPriority w:val="9"/>
    <w:semiHidden/>
    <w:unhideWhenUsed/>
    <w:qFormat/>
    <w:rsid w:val="000149CE"/>
    <w:pPr>
      <w:keepNext/>
      <w:numPr>
        <w:ilvl w:val="6"/>
        <w:numId w:val="3"/>
      </w:numPr>
      <w:spacing w:after="240"/>
      <w:outlineLvl w:val="6"/>
    </w:pPr>
    <w:rPr>
      <w:rFonts w:eastAsiaTheme="majorEastAsia" w:cstheme="majorBidi"/>
      <w:iCs/>
    </w:rPr>
  </w:style>
  <w:style w:type="paragraph" w:styleId="Heading8">
    <w:name w:val="heading 8"/>
    <w:basedOn w:val="Normal"/>
    <w:next w:val="BodyText2"/>
    <w:link w:val="Heading8Char"/>
    <w:uiPriority w:val="9"/>
    <w:semiHidden/>
    <w:unhideWhenUsed/>
    <w:qFormat/>
    <w:rsid w:val="000149CE"/>
    <w:pPr>
      <w:keepNext/>
      <w:numPr>
        <w:ilvl w:val="7"/>
        <w:numId w:val="3"/>
      </w:numPr>
      <w:spacing w:after="240"/>
      <w:outlineLvl w:val="7"/>
    </w:pPr>
    <w:rPr>
      <w:rFonts w:eastAsiaTheme="majorEastAsia" w:cstheme="majorBidi"/>
      <w:i/>
      <w:szCs w:val="20"/>
    </w:rPr>
  </w:style>
  <w:style w:type="paragraph" w:styleId="Heading9">
    <w:name w:val="heading 9"/>
    <w:basedOn w:val="Normal"/>
    <w:next w:val="BodyText2"/>
    <w:link w:val="Heading9Char"/>
    <w:uiPriority w:val="9"/>
    <w:semiHidden/>
    <w:unhideWhenUsed/>
    <w:qFormat/>
    <w:rsid w:val="000149CE"/>
    <w:pPr>
      <w:keepNext/>
      <w:numPr>
        <w:ilvl w:val="8"/>
        <w:numId w:val="3"/>
      </w:num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9CE"/>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B1439C"/>
    <w:rPr>
      <w:rFonts w:ascii="Times New Roman" w:eastAsia="Cambria" w:hAnsi="Times New Roman" w:cstheme="majorBidi"/>
      <w:bCs/>
      <w:i/>
      <w:caps/>
      <w:sz w:val="24"/>
      <w:szCs w:val="26"/>
    </w:rPr>
  </w:style>
  <w:style w:type="paragraph" w:styleId="Title">
    <w:name w:val="Title"/>
    <w:basedOn w:val="Normal"/>
    <w:next w:val="Normal"/>
    <w:link w:val="TitleChar"/>
    <w:uiPriority w:val="1"/>
    <w:qFormat/>
    <w:rsid w:val="00235C18"/>
    <w:pPr>
      <w:keepNext/>
      <w:spacing w:after="360"/>
      <w:ind w:left="1440" w:right="1440"/>
      <w:contextualSpacing/>
      <w:jc w:val="center"/>
    </w:pPr>
    <w:rPr>
      <w:rFonts w:ascii="Times New Roman Bold" w:eastAsiaTheme="majorEastAsia" w:hAnsi="Times New Roman Bold" w:cstheme="majorBidi"/>
      <w:b/>
      <w:caps/>
      <w:szCs w:val="52"/>
    </w:rPr>
  </w:style>
  <w:style w:type="character" w:customStyle="1" w:styleId="TitleChar">
    <w:name w:val="Title Char"/>
    <w:basedOn w:val="DefaultParagraphFont"/>
    <w:link w:val="Title"/>
    <w:uiPriority w:val="1"/>
    <w:rsid w:val="00235C18"/>
    <w:rPr>
      <w:rFonts w:ascii="Times New Roman Bold" w:eastAsiaTheme="majorEastAsia" w:hAnsi="Times New Roman Bold" w:cstheme="majorBidi"/>
      <w:b/>
      <w:caps/>
      <w:sz w:val="24"/>
      <w:szCs w:val="52"/>
    </w:rPr>
  </w:style>
  <w:style w:type="paragraph" w:styleId="Subtitle">
    <w:name w:val="Subtitle"/>
    <w:basedOn w:val="Normal"/>
    <w:next w:val="Normal"/>
    <w:link w:val="SubtitleChar"/>
    <w:uiPriority w:val="11"/>
    <w:qFormat/>
    <w:rsid w:val="00E25EBB"/>
    <w:pPr>
      <w:keepNext/>
      <w:numPr>
        <w:ilvl w:val="1"/>
      </w:numPr>
      <w:ind w:left="1440" w:right="1440"/>
      <w:jc w:val="center"/>
    </w:pPr>
    <w:rPr>
      <w:rFonts w:ascii="Times New Roman Bold" w:eastAsiaTheme="majorEastAsia" w:hAnsi="Times New Roman Bold" w:cstheme="majorBidi"/>
      <w:b/>
      <w:iCs/>
      <w:szCs w:val="24"/>
    </w:rPr>
  </w:style>
  <w:style w:type="character" w:customStyle="1" w:styleId="SubtitleChar">
    <w:name w:val="Subtitle Char"/>
    <w:basedOn w:val="DefaultParagraphFont"/>
    <w:link w:val="Subtitle"/>
    <w:uiPriority w:val="11"/>
    <w:rsid w:val="00E25EBB"/>
    <w:rPr>
      <w:rFonts w:ascii="Times New Roman Bold" w:eastAsiaTheme="majorEastAsia" w:hAnsi="Times New Roman Bold" w:cstheme="majorBidi"/>
      <w:b/>
      <w:iCs/>
      <w:sz w:val="24"/>
      <w:szCs w:val="24"/>
    </w:rPr>
  </w:style>
  <w:style w:type="character" w:styleId="BookTitle">
    <w:name w:val="Book Title"/>
    <w:basedOn w:val="DefaultParagraphFont"/>
    <w:uiPriority w:val="33"/>
    <w:semiHidden/>
    <w:qFormat/>
    <w:rsid w:val="00DF13D6"/>
    <w:rPr>
      <w:b/>
      <w:bCs/>
      <w:smallCaps/>
      <w:spacing w:val="0"/>
    </w:rPr>
  </w:style>
  <w:style w:type="character" w:customStyle="1" w:styleId="Heading3Char">
    <w:name w:val="Heading 3 Char"/>
    <w:basedOn w:val="DefaultParagraphFont"/>
    <w:link w:val="Heading3"/>
    <w:uiPriority w:val="9"/>
    <w:semiHidden/>
    <w:rsid w:val="000149CE"/>
    <w:rPr>
      <w:rFonts w:ascii="Times New Roman" w:eastAsiaTheme="majorEastAsia" w:hAnsi="Times New Roman" w:cstheme="majorBidi"/>
      <w:b/>
      <w:bCs/>
      <w:smallCaps/>
      <w:sz w:val="24"/>
    </w:rPr>
  </w:style>
  <w:style w:type="character" w:customStyle="1" w:styleId="Heading4Char">
    <w:name w:val="Heading 4 Char"/>
    <w:basedOn w:val="DefaultParagraphFont"/>
    <w:link w:val="Heading4"/>
    <w:uiPriority w:val="9"/>
    <w:semiHidden/>
    <w:rsid w:val="000149CE"/>
    <w:rPr>
      <w:rFonts w:ascii="Times New Roman" w:eastAsiaTheme="majorEastAsia" w:hAnsi="Times New Roman" w:cstheme="majorBidi"/>
      <w:bCs/>
      <w:i/>
      <w:iCs/>
      <w:smallCaps/>
      <w:sz w:val="24"/>
    </w:rPr>
  </w:style>
  <w:style w:type="character" w:customStyle="1" w:styleId="Heading5Char">
    <w:name w:val="Heading 5 Char"/>
    <w:basedOn w:val="DefaultParagraphFont"/>
    <w:link w:val="Heading5"/>
    <w:uiPriority w:val="9"/>
    <w:semiHidden/>
    <w:rsid w:val="000149CE"/>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semiHidden/>
    <w:rsid w:val="000149CE"/>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0149CE"/>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semiHidden/>
    <w:rsid w:val="000149CE"/>
    <w:rPr>
      <w:rFonts w:ascii="Times New Roman" w:eastAsiaTheme="majorEastAsia" w:hAnsi="Times New Roman" w:cstheme="majorBidi"/>
      <w:i/>
      <w:sz w:val="24"/>
      <w:szCs w:val="20"/>
    </w:rPr>
  </w:style>
  <w:style w:type="character" w:customStyle="1" w:styleId="Heading9Char">
    <w:name w:val="Heading 9 Char"/>
    <w:basedOn w:val="DefaultParagraphFont"/>
    <w:link w:val="Heading9"/>
    <w:uiPriority w:val="9"/>
    <w:semiHidden/>
    <w:rsid w:val="000149CE"/>
    <w:rPr>
      <w:rFonts w:ascii="Times New Roman" w:eastAsiaTheme="majorEastAsia" w:hAnsi="Times New Roman" w:cstheme="majorBidi"/>
      <w:iCs/>
      <w:sz w:val="24"/>
      <w:szCs w:val="20"/>
    </w:rPr>
  </w:style>
  <w:style w:type="character" w:styleId="SubtleEmphasis">
    <w:name w:val="Subtle Emphasis"/>
    <w:basedOn w:val="DefaultParagraphFont"/>
    <w:uiPriority w:val="19"/>
    <w:semiHidden/>
    <w:qFormat/>
    <w:rsid w:val="00DF13D6"/>
    <w:rPr>
      <w:i/>
      <w:iCs/>
      <w:color w:val="auto"/>
    </w:rPr>
  </w:style>
  <w:style w:type="character" w:styleId="IntenseEmphasis">
    <w:name w:val="Intense Emphasis"/>
    <w:basedOn w:val="DefaultParagraphFont"/>
    <w:uiPriority w:val="21"/>
    <w:semiHidden/>
    <w:qFormat/>
    <w:rsid w:val="00DF13D6"/>
    <w:rPr>
      <w:b/>
      <w:bCs/>
      <w:i/>
      <w:iCs/>
      <w:color w:val="auto"/>
    </w:rPr>
  </w:style>
  <w:style w:type="paragraph" w:styleId="Quote">
    <w:name w:val="Quote"/>
    <w:basedOn w:val="Normal"/>
    <w:next w:val="Normal"/>
    <w:link w:val="QuoteChar"/>
    <w:uiPriority w:val="29"/>
    <w:semiHidden/>
    <w:qFormat/>
    <w:rsid w:val="00084FAC"/>
    <w:pPr>
      <w:ind w:left="1440" w:right="1440"/>
      <w:jc w:val="both"/>
    </w:pPr>
    <w:rPr>
      <w:iCs/>
    </w:rPr>
  </w:style>
  <w:style w:type="character" w:customStyle="1" w:styleId="QuoteChar">
    <w:name w:val="Quote Char"/>
    <w:basedOn w:val="DefaultParagraphFont"/>
    <w:link w:val="Quote"/>
    <w:uiPriority w:val="29"/>
    <w:semiHidden/>
    <w:rsid w:val="00084FAC"/>
    <w:rPr>
      <w:rFonts w:ascii="Times New Roman" w:hAnsi="Times New Roman"/>
      <w:iCs/>
      <w:sz w:val="24"/>
    </w:rPr>
  </w:style>
  <w:style w:type="paragraph" w:styleId="IntenseQuote">
    <w:name w:val="Intense Quote"/>
    <w:basedOn w:val="Normal"/>
    <w:next w:val="Normal"/>
    <w:link w:val="IntenseQuoteChar"/>
    <w:uiPriority w:val="30"/>
    <w:semiHidden/>
    <w:qFormat/>
    <w:rsid w:val="00DF13D6"/>
    <w:pP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084FAC"/>
    <w:rPr>
      <w:rFonts w:ascii="Times New Roman" w:hAnsi="Times New Roman"/>
      <w:b/>
      <w:bCs/>
      <w:i/>
      <w:iCs/>
      <w:sz w:val="24"/>
    </w:rPr>
  </w:style>
  <w:style w:type="character" w:styleId="SubtleReference">
    <w:name w:val="Subtle Reference"/>
    <w:basedOn w:val="DefaultParagraphFont"/>
    <w:uiPriority w:val="31"/>
    <w:semiHidden/>
    <w:qFormat/>
    <w:rsid w:val="00DF13D6"/>
    <w:rPr>
      <w:smallCaps/>
      <w:color w:val="auto"/>
      <w:u w:val="single"/>
    </w:rPr>
  </w:style>
  <w:style w:type="character" w:styleId="IntenseReference">
    <w:name w:val="Intense Reference"/>
    <w:basedOn w:val="DefaultParagraphFont"/>
    <w:uiPriority w:val="32"/>
    <w:semiHidden/>
    <w:qFormat/>
    <w:rsid w:val="00DF13D6"/>
    <w:rPr>
      <w:b/>
      <w:bCs/>
      <w:smallCaps/>
      <w:color w:val="auto"/>
      <w:spacing w:val="5"/>
      <w:u w:val="single"/>
    </w:rPr>
  </w:style>
  <w:style w:type="paragraph" w:styleId="Caption">
    <w:name w:val="caption"/>
    <w:basedOn w:val="Normal"/>
    <w:next w:val="Normal"/>
    <w:uiPriority w:val="35"/>
    <w:unhideWhenUsed/>
    <w:qFormat/>
    <w:rsid w:val="00DF13D6"/>
    <w:rPr>
      <w:b/>
      <w:bCs/>
      <w:szCs w:val="18"/>
    </w:rPr>
  </w:style>
  <w:style w:type="paragraph" w:styleId="TOCHeading">
    <w:name w:val="TOC Heading"/>
    <w:basedOn w:val="Heading1"/>
    <w:next w:val="Normal"/>
    <w:uiPriority w:val="39"/>
    <w:unhideWhenUsed/>
    <w:qFormat/>
    <w:rsid w:val="00DF13D6"/>
    <w:pPr>
      <w:outlineLvl w:val="9"/>
    </w:pPr>
    <w:rPr>
      <w:rFonts w:ascii="Times New Roman" w:hAnsi="Times New Roman"/>
    </w:rPr>
  </w:style>
  <w:style w:type="paragraph" w:styleId="BalloonText">
    <w:name w:val="Balloon Text"/>
    <w:basedOn w:val="Normal"/>
    <w:link w:val="BalloonTextChar"/>
    <w:uiPriority w:val="99"/>
    <w:semiHidden/>
    <w:unhideWhenUsed/>
    <w:rsid w:val="00DF13D6"/>
    <w:rPr>
      <w:rFonts w:cs="Tahoma"/>
      <w:szCs w:val="16"/>
    </w:rPr>
  </w:style>
  <w:style w:type="character" w:customStyle="1" w:styleId="BalloonTextChar">
    <w:name w:val="Balloon Text Char"/>
    <w:basedOn w:val="DefaultParagraphFont"/>
    <w:link w:val="BalloonText"/>
    <w:uiPriority w:val="99"/>
    <w:semiHidden/>
    <w:rsid w:val="00DF13D6"/>
    <w:rPr>
      <w:rFonts w:ascii="Times New Roman" w:hAnsi="Times New Roman" w:cs="Tahoma"/>
      <w:sz w:val="24"/>
      <w:szCs w:val="16"/>
    </w:rPr>
  </w:style>
  <w:style w:type="paragraph" w:styleId="BlockText">
    <w:name w:val="Block Text"/>
    <w:basedOn w:val="Normal"/>
    <w:uiPriority w:val="4"/>
    <w:qFormat/>
    <w:rsid w:val="00084FAC"/>
    <w:pPr>
      <w:ind w:left="1440" w:right="1440"/>
    </w:pPr>
    <w:rPr>
      <w:rFonts w:eastAsiaTheme="minorEastAsia"/>
      <w:iCs/>
    </w:rPr>
  </w:style>
  <w:style w:type="paragraph" w:styleId="BodyText">
    <w:name w:val="Body Text"/>
    <w:basedOn w:val="Normal"/>
    <w:link w:val="BodyTextChar"/>
    <w:qFormat/>
    <w:rsid w:val="00084FAC"/>
    <w:pPr>
      <w:ind w:firstLine="720"/>
    </w:pPr>
  </w:style>
  <w:style w:type="character" w:customStyle="1" w:styleId="BodyTextChar">
    <w:name w:val="Body Text Char"/>
    <w:basedOn w:val="DefaultParagraphFont"/>
    <w:link w:val="BodyText"/>
    <w:rsid w:val="00084FAC"/>
    <w:rPr>
      <w:rFonts w:ascii="Times New Roman" w:hAnsi="Times New Roman"/>
      <w:sz w:val="24"/>
    </w:rPr>
  </w:style>
  <w:style w:type="paragraph" w:styleId="BodyText2">
    <w:name w:val="Body Text 2"/>
    <w:basedOn w:val="Normal"/>
    <w:link w:val="BodyText2Char"/>
    <w:uiPriority w:val="1"/>
    <w:qFormat/>
    <w:rsid w:val="00084FAC"/>
    <w:pPr>
      <w:spacing w:line="480" w:lineRule="auto"/>
      <w:ind w:firstLine="720"/>
    </w:pPr>
  </w:style>
  <w:style w:type="character" w:customStyle="1" w:styleId="BodyText2Char">
    <w:name w:val="Body Text 2 Char"/>
    <w:basedOn w:val="DefaultParagraphFont"/>
    <w:link w:val="BodyText2"/>
    <w:uiPriority w:val="1"/>
    <w:rsid w:val="00084FAC"/>
    <w:rPr>
      <w:rFonts w:ascii="Times New Roman" w:hAnsi="Times New Roman"/>
      <w:sz w:val="24"/>
    </w:rPr>
  </w:style>
  <w:style w:type="paragraph" w:styleId="BodyText3">
    <w:name w:val="Body Text 3"/>
    <w:basedOn w:val="Normal"/>
    <w:link w:val="BodyText3Char"/>
    <w:uiPriority w:val="99"/>
    <w:semiHidden/>
    <w:unhideWhenUsed/>
    <w:rsid w:val="00DF13D6"/>
    <w:rPr>
      <w:szCs w:val="16"/>
    </w:rPr>
  </w:style>
  <w:style w:type="character" w:customStyle="1" w:styleId="BodyText3Char">
    <w:name w:val="Body Text 3 Char"/>
    <w:basedOn w:val="DefaultParagraphFont"/>
    <w:link w:val="BodyText3"/>
    <w:uiPriority w:val="99"/>
    <w:semiHidden/>
    <w:rsid w:val="00DF13D6"/>
    <w:rPr>
      <w:rFonts w:ascii="Times New Roman" w:hAnsi="Times New Roman"/>
      <w:sz w:val="24"/>
      <w:szCs w:val="16"/>
    </w:rPr>
  </w:style>
  <w:style w:type="paragraph" w:styleId="BodyTextFirstIndent">
    <w:name w:val="Body Text First Indent"/>
    <w:basedOn w:val="BodyText"/>
    <w:link w:val="BodyTextFirstIndentChar"/>
    <w:uiPriority w:val="99"/>
    <w:semiHidden/>
    <w:unhideWhenUsed/>
    <w:rsid w:val="00DF13D6"/>
    <w:pPr>
      <w:ind w:firstLine="360"/>
    </w:pPr>
  </w:style>
  <w:style w:type="character" w:customStyle="1" w:styleId="BodyTextFirstIndentChar">
    <w:name w:val="Body Text First Indent Char"/>
    <w:basedOn w:val="BodyTextChar"/>
    <w:link w:val="BodyTextFirstIndent"/>
    <w:uiPriority w:val="99"/>
    <w:semiHidden/>
    <w:rsid w:val="00DF13D6"/>
    <w:rPr>
      <w:rFonts w:ascii="Times New Roman" w:hAnsi="Times New Roman"/>
      <w:sz w:val="24"/>
    </w:rPr>
  </w:style>
  <w:style w:type="paragraph" w:styleId="BodyTextIndent">
    <w:name w:val="Body Text Indent"/>
    <w:basedOn w:val="Normal"/>
    <w:link w:val="BodyTextIndentChar"/>
    <w:uiPriority w:val="99"/>
    <w:semiHidden/>
    <w:unhideWhenUsed/>
    <w:rsid w:val="00DF13D6"/>
    <w:pPr>
      <w:ind w:left="360"/>
    </w:pPr>
  </w:style>
  <w:style w:type="character" w:customStyle="1" w:styleId="BodyTextIndentChar">
    <w:name w:val="Body Text Indent Char"/>
    <w:basedOn w:val="DefaultParagraphFont"/>
    <w:link w:val="BodyTextIndent"/>
    <w:uiPriority w:val="99"/>
    <w:semiHidden/>
    <w:rsid w:val="00DF13D6"/>
    <w:rPr>
      <w:rFonts w:ascii="Times New Roman" w:hAnsi="Times New Roman"/>
      <w:sz w:val="24"/>
    </w:rPr>
  </w:style>
  <w:style w:type="paragraph" w:styleId="BodyTextFirstIndent2">
    <w:name w:val="Body Text First Indent 2"/>
    <w:basedOn w:val="BodyTextIndent"/>
    <w:link w:val="BodyTextFirstIndent2Char"/>
    <w:uiPriority w:val="99"/>
    <w:semiHidden/>
    <w:unhideWhenUsed/>
    <w:rsid w:val="00DF13D6"/>
    <w:pPr>
      <w:ind w:firstLine="360"/>
    </w:pPr>
  </w:style>
  <w:style w:type="character" w:customStyle="1" w:styleId="BodyTextFirstIndent2Char">
    <w:name w:val="Body Text First Indent 2 Char"/>
    <w:basedOn w:val="BodyTextIndentChar"/>
    <w:link w:val="BodyTextFirstIndent2"/>
    <w:uiPriority w:val="99"/>
    <w:semiHidden/>
    <w:rsid w:val="00DF13D6"/>
    <w:rPr>
      <w:rFonts w:ascii="Times New Roman" w:hAnsi="Times New Roman"/>
      <w:sz w:val="24"/>
    </w:rPr>
  </w:style>
  <w:style w:type="paragraph" w:styleId="BodyTextIndent2">
    <w:name w:val="Body Text Indent 2"/>
    <w:basedOn w:val="Normal"/>
    <w:link w:val="BodyTextIndent2Char"/>
    <w:uiPriority w:val="99"/>
    <w:semiHidden/>
    <w:unhideWhenUsed/>
    <w:rsid w:val="00DF13D6"/>
    <w:pPr>
      <w:spacing w:line="480" w:lineRule="auto"/>
      <w:ind w:left="360"/>
      <w:contextualSpacing/>
    </w:pPr>
  </w:style>
  <w:style w:type="character" w:customStyle="1" w:styleId="BodyTextIndent2Char">
    <w:name w:val="Body Text Indent 2 Char"/>
    <w:basedOn w:val="DefaultParagraphFont"/>
    <w:link w:val="BodyTextIndent2"/>
    <w:uiPriority w:val="99"/>
    <w:semiHidden/>
    <w:rsid w:val="00DF13D6"/>
    <w:rPr>
      <w:rFonts w:ascii="Times New Roman" w:hAnsi="Times New Roman"/>
      <w:sz w:val="24"/>
    </w:rPr>
  </w:style>
  <w:style w:type="paragraph" w:styleId="BodyTextIndent3">
    <w:name w:val="Body Text Indent 3"/>
    <w:basedOn w:val="Normal"/>
    <w:link w:val="BodyTextIndent3Char"/>
    <w:uiPriority w:val="99"/>
    <w:semiHidden/>
    <w:unhideWhenUsed/>
    <w:rsid w:val="00DF13D6"/>
    <w:pPr>
      <w:ind w:left="360"/>
    </w:pPr>
    <w:rPr>
      <w:szCs w:val="16"/>
    </w:rPr>
  </w:style>
  <w:style w:type="character" w:customStyle="1" w:styleId="BodyTextIndent3Char">
    <w:name w:val="Body Text Indent 3 Char"/>
    <w:basedOn w:val="DefaultParagraphFont"/>
    <w:link w:val="BodyTextIndent3"/>
    <w:uiPriority w:val="99"/>
    <w:semiHidden/>
    <w:rsid w:val="00DF13D6"/>
    <w:rPr>
      <w:rFonts w:ascii="Times New Roman" w:hAnsi="Times New Roman"/>
      <w:sz w:val="24"/>
      <w:szCs w:val="16"/>
    </w:rPr>
  </w:style>
  <w:style w:type="paragraph" w:styleId="EndnoteText">
    <w:name w:val="endnote text"/>
    <w:basedOn w:val="Normal"/>
    <w:link w:val="EndnoteTextChar"/>
    <w:uiPriority w:val="99"/>
    <w:semiHidden/>
    <w:unhideWhenUsed/>
    <w:rsid w:val="00DF13D6"/>
    <w:rPr>
      <w:szCs w:val="20"/>
    </w:rPr>
  </w:style>
  <w:style w:type="character" w:customStyle="1" w:styleId="EndnoteTextChar">
    <w:name w:val="Endnote Text Char"/>
    <w:basedOn w:val="DefaultParagraphFont"/>
    <w:link w:val="EndnoteText"/>
    <w:uiPriority w:val="99"/>
    <w:semiHidden/>
    <w:rsid w:val="00DF13D6"/>
    <w:rPr>
      <w:rFonts w:ascii="Times New Roman" w:hAnsi="Times New Roman"/>
      <w:sz w:val="24"/>
      <w:szCs w:val="20"/>
    </w:rPr>
  </w:style>
  <w:style w:type="paragraph" w:styleId="EnvelopeAddress">
    <w:name w:val="envelope address"/>
    <w:basedOn w:val="Normal"/>
    <w:uiPriority w:val="99"/>
    <w:semiHidden/>
    <w:unhideWhenUsed/>
    <w:rsid w:val="00DF13D6"/>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DF13D6"/>
    <w:rPr>
      <w:rFonts w:eastAsiaTheme="majorEastAsia" w:cstheme="majorBidi"/>
      <w:szCs w:val="20"/>
    </w:rPr>
  </w:style>
  <w:style w:type="paragraph" w:styleId="FootnoteText">
    <w:name w:val="footnote text"/>
    <w:basedOn w:val="Normal"/>
    <w:link w:val="FootnoteTextChar"/>
    <w:uiPriority w:val="99"/>
    <w:unhideWhenUsed/>
    <w:rsid w:val="00AE760C"/>
    <w:pPr>
      <w:spacing w:after="240"/>
    </w:pPr>
    <w:rPr>
      <w:szCs w:val="20"/>
    </w:rPr>
  </w:style>
  <w:style w:type="character" w:customStyle="1" w:styleId="FootnoteTextChar">
    <w:name w:val="Footnote Text Char"/>
    <w:basedOn w:val="DefaultParagraphFont"/>
    <w:link w:val="FootnoteText"/>
    <w:uiPriority w:val="99"/>
    <w:rsid w:val="00AE760C"/>
    <w:rPr>
      <w:rFonts w:ascii="Times New Roman" w:hAnsi="Times New Roman"/>
      <w:sz w:val="24"/>
      <w:szCs w:val="20"/>
    </w:rPr>
  </w:style>
  <w:style w:type="paragraph" w:styleId="Index1">
    <w:name w:val="index 1"/>
    <w:basedOn w:val="Normal"/>
    <w:next w:val="Normal"/>
    <w:autoRedefine/>
    <w:uiPriority w:val="99"/>
    <w:semiHidden/>
    <w:unhideWhenUsed/>
    <w:rsid w:val="00DF13D6"/>
    <w:pPr>
      <w:ind w:left="240" w:hanging="240"/>
    </w:pPr>
  </w:style>
  <w:style w:type="paragraph" w:styleId="IndexHeading">
    <w:name w:val="index heading"/>
    <w:basedOn w:val="Normal"/>
    <w:next w:val="Index1"/>
    <w:uiPriority w:val="99"/>
    <w:semiHidden/>
    <w:unhideWhenUsed/>
    <w:rsid w:val="00DF13D6"/>
    <w:rPr>
      <w:rFonts w:eastAsiaTheme="majorEastAsia" w:cstheme="majorBidi"/>
      <w:b/>
      <w:bCs/>
    </w:rPr>
  </w:style>
  <w:style w:type="paragraph" w:styleId="TOAHeading">
    <w:name w:val="toa heading"/>
    <w:basedOn w:val="Normal"/>
    <w:next w:val="Normal"/>
    <w:uiPriority w:val="99"/>
    <w:semiHidden/>
    <w:unhideWhenUsed/>
    <w:rsid w:val="00DF13D6"/>
    <w:rPr>
      <w:rFonts w:eastAsiaTheme="majorEastAsia" w:cstheme="majorBidi"/>
      <w:b/>
      <w:bCs/>
      <w:szCs w:val="24"/>
    </w:rPr>
  </w:style>
  <w:style w:type="paragraph" w:styleId="TableofFigures">
    <w:name w:val="table of figures"/>
    <w:basedOn w:val="Normal"/>
    <w:next w:val="Normal"/>
    <w:uiPriority w:val="99"/>
    <w:semiHidden/>
    <w:unhideWhenUsed/>
    <w:rsid w:val="00DF13D6"/>
  </w:style>
  <w:style w:type="paragraph" w:styleId="TableofAuthorities">
    <w:name w:val="table of authorities"/>
    <w:basedOn w:val="Normal"/>
    <w:next w:val="Normal"/>
    <w:uiPriority w:val="99"/>
    <w:semiHidden/>
    <w:unhideWhenUsed/>
    <w:rsid w:val="00DF13D6"/>
    <w:pPr>
      <w:ind w:left="245" w:hanging="245"/>
    </w:pPr>
  </w:style>
  <w:style w:type="paragraph" w:styleId="NoSpacing">
    <w:name w:val="No Spacing"/>
    <w:aliases w:val="LeftAlign"/>
    <w:uiPriority w:val="1"/>
    <w:qFormat/>
    <w:rsid w:val="007B2423"/>
    <w:pPr>
      <w:spacing w:after="0" w:line="240" w:lineRule="auto"/>
    </w:pPr>
    <w:rPr>
      <w:rFonts w:ascii="Times New Roman" w:hAnsi="Times New Roman"/>
      <w:sz w:val="24"/>
    </w:rPr>
  </w:style>
  <w:style w:type="paragraph" w:styleId="ListParagraph">
    <w:name w:val="List Paragraph"/>
    <w:basedOn w:val="Normal"/>
    <w:link w:val="ListParagraphChar"/>
    <w:uiPriority w:val="34"/>
    <w:qFormat/>
    <w:rsid w:val="007B2423"/>
    <w:pPr>
      <w:ind w:left="720"/>
      <w:contextualSpacing/>
    </w:pPr>
  </w:style>
  <w:style w:type="paragraph" w:customStyle="1" w:styleId="Bullet">
    <w:name w:val="Bullet"/>
    <w:basedOn w:val="ListParagraph"/>
    <w:link w:val="BulletChar"/>
    <w:qFormat/>
    <w:rsid w:val="0071554E"/>
    <w:pPr>
      <w:numPr>
        <w:numId w:val="4"/>
      </w:numPr>
      <w:spacing w:after="240"/>
      <w:contextualSpacing w:val="0"/>
    </w:pPr>
  </w:style>
  <w:style w:type="paragraph" w:styleId="Signature">
    <w:name w:val="Signature"/>
    <w:basedOn w:val="Normal"/>
    <w:link w:val="SignatureChar"/>
    <w:uiPriority w:val="99"/>
    <w:qFormat/>
    <w:rsid w:val="00084FAC"/>
    <w:pPr>
      <w:ind w:left="4320"/>
    </w:pPr>
  </w:style>
  <w:style w:type="character" w:customStyle="1" w:styleId="ListParagraphChar">
    <w:name w:val="List Paragraph Char"/>
    <w:basedOn w:val="DefaultParagraphFont"/>
    <w:link w:val="ListParagraph"/>
    <w:uiPriority w:val="34"/>
    <w:rsid w:val="007B2423"/>
    <w:rPr>
      <w:rFonts w:ascii="Times New Roman" w:hAnsi="Times New Roman"/>
      <w:sz w:val="24"/>
    </w:rPr>
  </w:style>
  <w:style w:type="character" w:customStyle="1" w:styleId="BulletChar">
    <w:name w:val="Bullet Char"/>
    <w:basedOn w:val="ListParagraphChar"/>
    <w:link w:val="Bullet"/>
    <w:rsid w:val="0071554E"/>
    <w:rPr>
      <w:rFonts w:ascii="Times New Roman" w:hAnsi="Times New Roman"/>
      <w:sz w:val="24"/>
    </w:rPr>
  </w:style>
  <w:style w:type="character" w:customStyle="1" w:styleId="SignatureChar">
    <w:name w:val="Signature Char"/>
    <w:basedOn w:val="DefaultParagraphFont"/>
    <w:link w:val="Signature"/>
    <w:uiPriority w:val="99"/>
    <w:rsid w:val="00084FAC"/>
    <w:rPr>
      <w:rFonts w:ascii="Times New Roman" w:hAnsi="Times New Roman"/>
      <w:sz w:val="24"/>
    </w:rPr>
  </w:style>
  <w:style w:type="character" w:styleId="FootnoteReference">
    <w:name w:val="footnote reference"/>
    <w:basedOn w:val="DefaultParagraphFont"/>
    <w:uiPriority w:val="99"/>
    <w:semiHidden/>
    <w:unhideWhenUsed/>
    <w:rsid w:val="00A36642"/>
    <w:rPr>
      <w:vertAlign w:val="superscript"/>
    </w:rPr>
  </w:style>
  <w:style w:type="paragraph" w:customStyle="1" w:styleId="StyleCentered">
    <w:name w:val="Style Centered"/>
    <w:basedOn w:val="Normal"/>
    <w:link w:val="StyleCenteredChar"/>
    <w:rsid w:val="00B74715"/>
    <w:pPr>
      <w:jc w:val="center"/>
    </w:pPr>
    <w:rPr>
      <w:szCs w:val="20"/>
    </w:rPr>
  </w:style>
  <w:style w:type="paragraph" w:customStyle="1" w:styleId="StyleBoldCentered">
    <w:name w:val="Style Bold Centered"/>
    <w:basedOn w:val="Normal"/>
    <w:rsid w:val="00B74715"/>
    <w:pPr>
      <w:ind w:left="720" w:right="720"/>
      <w:jc w:val="center"/>
    </w:pPr>
    <w:rPr>
      <w:rFonts w:ascii="Times New Roman Bold" w:hAnsi="Times New Roman Bold"/>
      <w:b/>
      <w:bCs/>
      <w:caps/>
      <w:szCs w:val="20"/>
    </w:rPr>
  </w:style>
  <w:style w:type="paragraph" w:customStyle="1" w:styleId="PartyName">
    <w:name w:val="Party Name"/>
    <w:basedOn w:val="Normal"/>
    <w:rsid w:val="00B74715"/>
    <w:pPr>
      <w:spacing w:line="240" w:lineRule="exact"/>
    </w:pPr>
    <w:rPr>
      <w:szCs w:val="20"/>
    </w:rPr>
  </w:style>
  <w:style w:type="paragraph" w:customStyle="1" w:styleId="PartyTitle">
    <w:name w:val="Party Title"/>
    <w:basedOn w:val="PartyName"/>
    <w:rsid w:val="00B74715"/>
    <w:pPr>
      <w:spacing w:before="240" w:after="240"/>
      <w:ind w:left="2880"/>
    </w:pPr>
  </w:style>
  <w:style w:type="paragraph" w:customStyle="1" w:styleId="CaptionRight">
    <w:name w:val="CaptionRight"/>
    <w:basedOn w:val="Normal"/>
    <w:rsid w:val="00B74715"/>
    <w:pPr>
      <w:spacing w:line="240" w:lineRule="exact"/>
      <w:ind w:left="288"/>
    </w:pPr>
  </w:style>
  <w:style w:type="paragraph" w:customStyle="1" w:styleId="Versus">
    <w:name w:val="Versus"/>
    <w:basedOn w:val="PartyName"/>
    <w:rsid w:val="00B74715"/>
    <w:pPr>
      <w:spacing w:after="240"/>
      <w:ind w:left="720"/>
    </w:pPr>
  </w:style>
  <w:style w:type="paragraph" w:customStyle="1" w:styleId="StyleLeft35">
    <w:name w:val="Style Left:  3.5&quot;"/>
    <w:basedOn w:val="Normal"/>
    <w:rsid w:val="00B74715"/>
    <w:pPr>
      <w:ind w:left="5040"/>
    </w:pPr>
    <w:rPr>
      <w:szCs w:val="20"/>
    </w:rPr>
  </w:style>
  <w:style w:type="paragraph" w:styleId="Header">
    <w:name w:val="header"/>
    <w:basedOn w:val="Normal"/>
    <w:link w:val="HeaderChar"/>
    <w:rsid w:val="00B74715"/>
    <w:pPr>
      <w:tabs>
        <w:tab w:val="center" w:pos="4320"/>
        <w:tab w:val="right" w:pos="8640"/>
      </w:tabs>
    </w:pPr>
  </w:style>
  <w:style w:type="character" w:customStyle="1" w:styleId="HeaderChar">
    <w:name w:val="Header Char"/>
    <w:basedOn w:val="DefaultParagraphFont"/>
    <w:link w:val="Header"/>
    <w:rsid w:val="00B74715"/>
    <w:rPr>
      <w:rFonts w:ascii="Times New Roman" w:hAnsi="Times New Roman"/>
      <w:sz w:val="24"/>
    </w:rPr>
  </w:style>
  <w:style w:type="paragraph" w:customStyle="1" w:styleId="StyleLeft4">
    <w:name w:val="Style Left:  4&quot;"/>
    <w:basedOn w:val="Normal"/>
    <w:rsid w:val="00B74715"/>
    <w:pPr>
      <w:ind w:left="5760"/>
    </w:pPr>
    <w:rPr>
      <w:szCs w:val="20"/>
    </w:rPr>
  </w:style>
  <w:style w:type="paragraph" w:customStyle="1" w:styleId="StyleAllcapsLeft35">
    <w:name w:val="Style All caps Left:  3.5&quot;"/>
    <w:basedOn w:val="Normal"/>
    <w:rsid w:val="00B74715"/>
    <w:pPr>
      <w:ind w:left="5040"/>
    </w:pPr>
    <w:rPr>
      <w:caps/>
      <w:szCs w:val="20"/>
    </w:rPr>
  </w:style>
  <w:style w:type="paragraph" w:styleId="TOC1">
    <w:name w:val="toc 1"/>
    <w:basedOn w:val="Normal"/>
    <w:next w:val="Normal"/>
    <w:autoRedefine/>
    <w:uiPriority w:val="39"/>
    <w:unhideWhenUsed/>
    <w:rsid w:val="00E25EBB"/>
    <w:pPr>
      <w:tabs>
        <w:tab w:val="right" w:leader="dot" w:pos="9360"/>
      </w:tabs>
      <w:spacing w:before="120" w:after="120"/>
      <w:ind w:left="720" w:right="720" w:hanging="720"/>
      <w:jc w:val="both"/>
    </w:pPr>
  </w:style>
  <w:style w:type="paragraph" w:styleId="TOC2">
    <w:name w:val="toc 2"/>
    <w:basedOn w:val="Normal"/>
    <w:next w:val="Normal"/>
    <w:autoRedefine/>
    <w:uiPriority w:val="39"/>
    <w:unhideWhenUsed/>
    <w:rsid w:val="00423192"/>
    <w:pPr>
      <w:tabs>
        <w:tab w:val="right" w:leader="dot" w:pos="9360"/>
      </w:tabs>
      <w:spacing w:before="120" w:after="120"/>
      <w:ind w:left="540" w:right="720" w:hanging="540"/>
      <w:jc w:val="both"/>
    </w:pPr>
  </w:style>
  <w:style w:type="paragraph" w:styleId="TOC3">
    <w:name w:val="toc 3"/>
    <w:basedOn w:val="Normal"/>
    <w:next w:val="Normal"/>
    <w:autoRedefine/>
    <w:uiPriority w:val="39"/>
    <w:unhideWhenUsed/>
    <w:rsid w:val="000D25F2"/>
    <w:pPr>
      <w:tabs>
        <w:tab w:val="left" w:pos="1080"/>
        <w:tab w:val="right" w:leader="dot" w:pos="9360"/>
      </w:tabs>
      <w:spacing w:before="120" w:after="120"/>
      <w:ind w:left="1080" w:right="720" w:hanging="540"/>
      <w:jc w:val="both"/>
    </w:pPr>
  </w:style>
  <w:style w:type="paragraph" w:styleId="TOC4">
    <w:name w:val="toc 4"/>
    <w:basedOn w:val="Normal"/>
    <w:next w:val="Normal"/>
    <w:autoRedefine/>
    <w:uiPriority w:val="39"/>
    <w:semiHidden/>
    <w:unhideWhenUsed/>
    <w:rsid w:val="00E25EBB"/>
    <w:pPr>
      <w:tabs>
        <w:tab w:val="right" w:leader="dot" w:pos="9360"/>
      </w:tabs>
      <w:spacing w:after="120"/>
      <w:ind w:left="1080" w:hanging="360"/>
    </w:pPr>
  </w:style>
  <w:style w:type="paragraph" w:styleId="TOC5">
    <w:name w:val="toc 5"/>
    <w:basedOn w:val="Normal"/>
    <w:next w:val="Normal"/>
    <w:autoRedefine/>
    <w:uiPriority w:val="39"/>
    <w:semiHidden/>
    <w:unhideWhenUsed/>
    <w:rsid w:val="00E25EBB"/>
    <w:pPr>
      <w:tabs>
        <w:tab w:val="right" w:leader="dot" w:pos="9360"/>
      </w:tabs>
      <w:spacing w:after="100"/>
      <w:ind w:left="1440" w:hanging="360"/>
    </w:pPr>
  </w:style>
  <w:style w:type="paragraph" w:styleId="TOC6">
    <w:name w:val="toc 6"/>
    <w:basedOn w:val="Normal"/>
    <w:next w:val="Normal"/>
    <w:autoRedefine/>
    <w:uiPriority w:val="39"/>
    <w:semiHidden/>
    <w:unhideWhenUsed/>
    <w:rsid w:val="00E25EBB"/>
    <w:pPr>
      <w:spacing w:after="100"/>
      <w:ind w:left="1200"/>
    </w:pPr>
  </w:style>
  <w:style w:type="paragraph" w:styleId="TOC7">
    <w:name w:val="toc 7"/>
    <w:basedOn w:val="Normal"/>
    <w:next w:val="Normal"/>
    <w:autoRedefine/>
    <w:uiPriority w:val="39"/>
    <w:semiHidden/>
    <w:unhideWhenUsed/>
    <w:rsid w:val="00E25EBB"/>
    <w:pPr>
      <w:spacing w:after="100"/>
      <w:ind w:left="1440"/>
    </w:pPr>
  </w:style>
  <w:style w:type="paragraph" w:styleId="TOC8">
    <w:name w:val="toc 8"/>
    <w:basedOn w:val="Normal"/>
    <w:next w:val="Normal"/>
    <w:autoRedefine/>
    <w:uiPriority w:val="39"/>
    <w:semiHidden/>
    <w:unhideWhenUsed/>
    <w:rsid w:val="00E25EBB"/>
    <w:pPr>
      <w:spacing w:after="100"/>
      <w:ind w:left="1680"/>
    </w:pPr>
  </w:style>
  <w:style w:type="paragraph" w:styleId="TOC9">
    <w:name w:val="toc 9"/>
    <w:basedOn w:val="Normal"/>
    <w:next w:val="Normal"/>
    <w:autoRedefine/>
    <w:uiPriority w:val="39"/>
    <w:semiHidden/>
    <w:unhideWhenUsed/>
    <w:rsid w:val="00E25EBB"/>
    <w:pPr>
      <w:spacing w:after="100"/>
      <w:ind w:left="1920"/>
    </w:pPr>
  </w:style>
  <w:style w:type="paragraph" w:customStyle="1" w:styleId="Heading1Continued">
    <w:name w:val="Heading 1 Continued"/>
    <w:basedOn w:val="Heading1"/>
    <w:next w:val="BodyText"/>
    <w:link w:val="Heading1ContinuedChar"/>
    <w:semiHidden/>
    <w:rsid w:val="00E25EBB"/>
    <w:pPr>
      <w:outlineLvl w:val="9"/>
    </w:pPr>
  </w:style>
  <w:style w:type="character" w:customStyle="1" w:styleId="StyleCenteredChar">
    <w:name w:val="Style Centered Char"/>
    <w:basedOn w:val="DefaultParagraphFont"/>
    <w:link w:val="StyleCentered"/>
    <w:rsid w:val="00E25EBB"/>
    <w:rPr>
      <w:rFonts w:ascii="Times New Roman" w:hAnsi="Times New Roman"/>
      <w:sz w:val="24"/>
      <w:szCs w:val="20"/>
    </w:rPr>
  </w:style>
  <w:style w:type="character" w:customStyle="1" w:styleId="Heading1ContinuedChar">
    <w:name w:val="Heading 1 Continued Char"/>
    <w:basedOn w:val="StyleCenteredChar"/>
    <w:link w:val="Heading1Continued"/>
    <w:semiHidden/>
    <w:rsid w:val="002854B8"/>
    <w:rPr>
      <w:rFonts w:ascii="Times New Roman Bold" w:eastAsiaTheme="majorEastAsia" w:hAnsi="Times New Roman Bold" w:cstheme="majorBidi"/>
      <w:b/>
      <w:bCs/>
      <w:caps/>
      <w:sz w:val="24"/>
      <w:szCs w:val="28"/>
    </w:rPr>
  </w:style>
  <w:style w:type="paragraph" w:customStyle="1" w:styleId="Heading2Continued">
    <w:name w:val="Heading 2 Continued"/>
    <w:basedOn w:val="Heading2"/>
    <w:next w:val="BodyText"/>
    <w:link w:val="Heading2ContinuedChar"/>
    <w:semiHidden/>
    <w:rsid w:val="00E25EBB"/>
    <w:pPr>
      <w:outlineLvl w:val="9"/>
    </w:pPr>
  </w:style>
  <w:style w:type="character" w:customStyle="1" w:styleId="Heading2ContinuedChar">
    <w:name w:val="Heading 2 Continued Char"/>
    <w:basedOn w:val="StyleCenteredChar"/>
    <w:link w:val="Heading2Continued"/>
    <w:semiHidden/>
    <w:rsid w:val="002854B8"/>
    <w:rPr>
      <w:rFonts w:ascii="Times New Roman" w:eastAsiaTheme="majorEastAsia" w:hAnsi="Times New Roman" w:cstheme="majorBidi"/>
      <w:bCs/>
      <w:i/>
      <w:caps/>
      <w:sz w:val="24"/>
      <w:szCs w:val="26"/>
    </w:rPr>
  </w:style>
  <w:style w:type="paragraph" w:customStyle="1" w:styleId="Heading3Continued">
    <w:name w:val="Heading 3 Continued"/>
    <w:basedOn w:val="Heading3"/>
    <w:next w:val="BodyText"/>
    <w:link w:val="Heading3ContinuedChar"/>
    <w:semiHidden/>
    <w:rsid w:val="00E25EBB"/>
    <w:pPr>
      <w:outlineLvl w:val="9"/>
    </w:pPr>
  </w:style>
  <w:style w:type="character" w:customStyle="1" w:styleId="Heading3ContinuedChar">
    <w:name w:val="Heading 3 Continued Char"/>
    <w:basedOn w:val="StyleCenteredChar"/>
    <w:link w:val="Heading3Continued"/>
    <w:semiHidden/>
    <w:rsid w:val="002854B8"/>
    <w:rPr>
      <w:rFonts w:ascii="Times New Roman" w:eastAsiaTheme="majorEastAsia" w:hAnsi="Times New Roman" w:cstheme="majorBidi"/>
      <w:b/>
      <w:bCs/>
      <w:smallCaps/>
      <w:sz w:val="24"/>
      <w:szCs w:val="20"/>
    </w:rPr>
  </w:style>
  <w:style w:type="paragraph" w:customStyle="1" w:styleId="Heading4Continued">
    <w:name w:val="Heading 4 Continued"/>
    <w:basedOn w:val="Heading4"/>
    <w:next w:val="BodyText"/>
    <w:link w:val="Heading4ContinuedChar"/>
    <w:semiHidden/>
    <w:rsid w:val="00E25EBB"/>
    <w:pPr>
      <w:outlineLvl w:val="9"/>
    </w:pPr>
  </w:style>
  <w:style w:type="character" w:customStyle="1" w:styleId="Heading4ContinuedChar">
    <w:name w:val="Heading 4 Continued Char"/>
    <w:basedOn w:val="StyleCenteredChar"/>
    <w:link w:val="Heading4Continued"/>
    <w:semiHidden/>
    <w:rsid w:val="002854B8"/>
    <w:rPr>
      <w:rFonts w:ascii="Times New Roman" w:eastAsiaTheme="majorEastAsia" w:hAnsi="Times New Roman" w:cstheme="majorBidi"/>
      <w:bCs/>
      <w:i/>
      <w:iCs/>
      <w:smallCaps/>
      <w:sz w:val="24"/>
      <w:szCs w:val="20"/>
    </w:rPr>
  </w:style>
  <w:style w:type="paragraph" w:styleId="Footer">
    <w:name w:val="footer"/>
    <w:basedOn w:val="Normal"/>
    <w:link w:val="FooterChar"/>
    <w:uiPriority w:val="99"/>
    <w:unhideWhenUsed/>
    <w:rsid w:val="00E25EBB"/>
    <w:pPr>
      <w:tabs>
        <w:tab w:val="center" w:pos="4680"/>
        <w:tab w:val="right" w:pos="9360"/>
      </w:tabs>
    </w:pPr>
  </w:style>
  <w:style w:type="character" w:customStyle="1" w:styleId="FooterChar">
    <w:name w:val="Footer Char"/>
    <w:basedOn w:val="DefaultParagraphFont"/>
    <w:link w:val="Footer"/>
    <w:uiPriority w:val="99"/>
    <w:rsid w:val="00E25EBB"/>
    <w:rPr>
      <w:rFonts w:ascii="Times New Roman" w:hAnsi="Times New Roman"/>
      <w:sz w:val="24"/>
    </w:rPr>
  </w:style>
  <w:style w:type="paragraph" w:styleId="Bibliography">
    <w:name w:val="Bibliography"/>
    <w:basedOn w:val="Normal"/>
    <w:next w:val="Normal"/>
    <w:uiPriority w:val="37"/>
    <w:semiHidden/>
    <w:unhideWhenUsed/>
    <w:rsid w:val="000149CE"/>
  </w:style>
  <w:style w:type="character" w:styleId="PlaceholderText">
    <w:name w:val="Placeholder Text"/>
    <w:basedOn w:val="DefaultParagraphFont"/>
    <w:uiPriority w:val="99"/>
    <w:semiHidden/>
    <w:rsid w:val="00431C4E"/>
    <w:rPr>
      <w:color w:val="808080"/>
    </w:rPr>
  </w:style>
  <w:style w:type="character" w:styleId="Hyperlink">
    <w:name w:val="Hyperlink"/>
    <w:basedOn w:val="DefaultParagraphFont"/>
    <w:uiPriority w:val="99"/>
    <w:unhideWhenUsed/>
    <w:rsid w:val="0072099E"/>
    <w:rPr>
      <w:color w:val="0000FF" w:themeColor="hyperlink"/>
      <w:u w:val="single"/>
    </w:rPr>
  </w:style>
  <w:style w:type="character" w:styleId="CommentReference">
    <w:name w:val="annotation reference"/>
    <w:basedOn w:val="DefaultParagraphFont"/>
    <w:uiPriority w:val="99"/>
    <w:semiHidden/>
    <w:unhideWhenUsed/>
    <w:rsid w:val="006D3F0B"/>
    <w:rPr>
      <w:sz w:val="16"/>
      <w:szCs w:val="16"/>
    </w:rPr>
  </w:style>
  <w:style w:type="paragraph" w:styleId="CommentText">
    <w:name w:val="annotation text"/>
    <w:basedOn w:val="Normal"/>
    <w:link w:val="CommentTextChar"/>
    <w:uiPriority w:val="99"/>
    <w:semiHidden/>
    <w:unhideWhenUsed/>
    <w:rsid w:val="006D3F0B"/>
    <w:rPr>
      <w:sz w:val="20"/>
      <w:szCs w:val="20"/>
    </w:rPr>
  </w:style>
  <w:style w:type="character" w:customStyle="1" w:styleId="CommentTextChar">
    <w:name w:val="Comment Text Char"/>
    <w:basedOn w:val="DefaultParagraphFont"/>
    <w:link w:val="CommentText"/>
    <w:uiPriority w:val="99"/>
    <w:semiHidden/>
    <w:rsid w:val="006D3F0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D3F0B"/>
    <w:rPr>
      <w:b/>
      <w:bCs/>
    </w:rPr>
  </w:style>
  <w:style w:type="character" w:customStyle="1" w:styleId="CommentSubjectChar">
    <w:name w:val="Comment Subject Char"/>
    <w:basedOn w:val="CommentTextChar"/>
    <w:link w:val="CommentSubject"/>
    <w:uiPriority w:val="99"/>
    <w:semiHidden/>
    <w:rsid w:val="006D3F0B"/>
    <w:rPr>
      <w:rFonts w:ascii="Times New Roman" w:hAnsi="Times New Roman"/>
      <w:b/>
      <w:bCs/>
      <w:sz w:val="20"/>
      <w:szCs w:val="20"/>
    </w:rPr>
  </w:style>
  <w:style w:type="paragraph" w:customStyle="1" w:styleId="Style1">
    <w:name w:val="Style1"/>
    <w:basedOn w:val="Heading2"/>
    <w:link w:val="Style1Char"/>
    <w:qFormat/>
    <w:rsid w:val="00B1439C"/>
    <w:rPr>
      <w:b/>
      <w:i w:val="0"/>
      <w:caps w:val="0"/>
    </w:rPr>
  </w:style>
  <w:style w:type="table" w:styleId="TableGrid">
    <w:name w:val="Table Grid"/>
    <w:basedOn w:val="TableNormal"/>
    <w:uiPriority w:val="59"/>
    <w:rsid w:val="00EC0AC8"/>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Char">
    <w:name w:val="Style1 Char"/>
    <w:basedOn w:val="Heading2Char"/>
    <w:link w:val="Style1"/>
    <w:rsid w:val="00B1439C"/>
    <w:rPr>
      <w:rFonts w:ascii="Times New Roman" w:eastAsia="Cambria" w:hAnsi="Times New Roman" w:cstheme="majorBidi"/>
      <w:b/>
      <w:bCs/>
      <w:i w:val="0"/>
      <w:caps w:val="0"/>
      <w:sz w:val="24"/>
      <w:szCs w:val="26"/>
    </w:rPr>
  </w:style>
  <w:style w:type="character" w:styleId="FollowedHyperlink">
    <w:name w:val="FollowedHyperlink"/>
    <w:basedOn w:val="DefaultParagraphFont"/>
    <w:uiPriority w:val="99"/>
    <w:semiHidden/>
    <w:unhideWhenUsed/>
    <w:rsid w:val="00530D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Signature" w:semiHidden="0" w:unhideWhenUsed="0" w:qFormat="1"/>
    <w:lsdException w:name="Default Paragraph Font" w:uiPriority="1"/>
    <w:lsdException w:name="Body Text" w:qFormat="1"/>
    <w:lsdException w:name="Subtitle" w:semiHidden="0" w:uiPriority="11" w:unhideWhenUsed="0" w:qFormat="1"/>
    <w:lsdException w:name="Body Text 2" w:uiPriority="1" w:qFormat="1"/>
    <w:lsdException w:name="Block Text"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E24"/>
    <w:pPr>
      <w:spacing w:after="0" w:line="240" w:lineRule="auto"/>
    </w:pPr>
    <w:rPr>
      <w:rFonts w:ascii="Times New Roman" w:hAnsi="Times New Roman"/>
      <w:sz w:val="24"/>
    </w:rPr>
  </w:style>
  <w:style w:type="paragraph" w:styleId="Heading1">
    <w:name w:val="heading 1"/>
    <w:basedOn w:val="Normal"/>
    <w:next w:val="BodyText2"/>
    <w:link w:val="Heading1Char"/>
    <w:uiPriority w:val="9"/>
    <w:qFormat/>
    <w:rsid w:val="000149CE"/>
    <w:pPr>
      <w:keepNext/>
      <w:numPr>
        <w:numId w:val="3"/>
      </w:numPr>
      <w:spacing w:after="240"/>
      <w:outlineLvl w:val="0"/>
    </w:pPr>
    <w:rPr>
      <w:rFonts w:ascii="Times New Roman Bold" w:eastAsiaTheme="majorEastAsia" w:hAnsi="Times New Roman Bold" w:cstheme="majorBidi"/>
      <w:b/>
      <w:bCs/>
      <w:caps/>
      <w:szCs w:val="28"/>
    </w:rPr>
  </w:style>
  <w:style w:type="paragraph" w:styleId="Heading2">
    <w:name w:val="heading 2"/>
    <w:basedOn w:val="Normal"/>
    <w:next w:val="BodyText2"/>
    <w:link w:val="Heading2Char"/>
    <w:uiPriority w:val="9"/>
    <w:unhideWhenUsed/>
    <w:qFormat/>
    <w:rsid w:val="00B1439C"/>
    <w:pPr>
      <w:keepNext/>
      <w:numPr>
        <w:ilvl w:val="1"/>
        <w:numId w:val="3"/>
      </w:numPr>
      <w:spacing w:after="240"/>
      <w:outlineLvl w:val="1"/>
    </w:pPr>
    <w:rPr>
      <w:rFonts w:eastAsia="Cambria" w:cstheme="majorBidi"/>
      <w:bCs/>
      <w:i/>
      <w:caps/>
      <w:szCs w:val="26"/>
    </w:rPr>
  </w:style>
  <w:style w:type="paragraph" w:styleId="Heading3">
    <w:name w:val="heading 3"/>
    <w:basedOn w:val="Normal"/>
    <w:next w:val="BodyText2"/>
    <w:link w:val="Heading3Char"/>
    <w:uiPriority w:val="9"/>
    <w:semiHidden/>
    <w:unhideWhenUsed/>
    <w:qFormat/>
    <w:rsid w:val="000149CE"/>
    <w:pPr>
      <w:keepNext/>
      <w:numPr>
        <w:ilvl w:val="2"/>
        <w:numId w:val="3"/>
      </w:numPr>
      <w:spacing w:after="240"/>
      <w:outlineLvl w:val="2"/>
    </w:pPr>
    <w:rPr>
      <w:rFonts w:eastAsiaTheme="majorEastAsia" w:cstheme="majorBidi"/>
      <w:b/>
      <w:bCs/>
      <w:smallCaps/>
    </w:rPr>
  </w:style>
  <w:style w:type="paragraph" w:styleId="Heading4">
    <w:name w:val="heading 4"/>
    <w:basedOn w:val="Normal"/>
    <w:next w:val="BodyText2"/>
    <w:link w:val="Heading4Char"/>
    <w:uiPriority w:val="9"/>
    <w:semiHidden/>
    <w:unhideWhenUsed/>
    <w:qFormat/>
    <w:rsid w:val="000149CE"/>
    <w:pPr>
      <w:keepNext/>
      <w:numPr>
        <w:ilvl w:val="3"/>
        <w:numId w:val="3"/>
      </w:numPr>
      <w:spacing w:after="240"/>
      <w:outlineLvl w:val="3"/>
    </w:pPr>
    <w:rPr>
      <w:rFonts w:eastAsiaTheme="majorEastAsia" w:cstheme="majorBidi"/>
      <w:bCs/>
      <w:i/>
      <w:iCs/>
      <w:smallCaps/>
    </w:rPr>
  </w:style>
  <w:style w:type="paragraph" w:styleId="Heading5">
    <w:name w:val="heading 5"/>
    <w:basedOn w:val="Normal"/>
    <w:next w:val="BodyText2"/>
    <w:link w:val="Heading5Char"/>
    <w:uiPriority w:val="9"/>
    <w:semiHidden/>
    <w:unhideWhenUsed/>
    <w:qFormat/>
    <w:rsid w:val="000149CE"/>
    <w:pPr>
      <w:keepNext/>
      <w:numPr>
        <w:ilvl w:val="4"/>
        <w:numId w:val="3"/>
      </w:numPr>
      <w:spacing w:after="240"/>
      <w:outlineLvl w:val="4"/>
    </w:pPr>
    <w:rPr>
      <w:rFonts w:eastAsiaTheme="majorEastAsia" w:cstheme="majorBidi"/>
      <w:b/>
    </w:rPr>
  </w:style>
  <w:style w:type="paragraph" w:styleId="Heading6">
    <w:name w:val="heading 6"/>
    <w:basedOn w:val="Normal"/>
    <w:next w:val="BodyText2"/>
    <w:link w:val="Heading6Char"/>
    <w:uiPriority w:val="9"/>
    <w:semiHidden/>
    <w:unhideWhenUsed/>
    <w:qFormat/>
    <w:rsid w:val="000149CE"/>
    <w:pPr>
      <w:keepNext/>
      <w:numPr>
        <w:ilvl w:val="5"/>
        <w:numId w:val="3"/>
      </w:numPr>
      <w:spacing w:after="240"/>
      <w:outlineLvl w:val="5"/>
    </w:pPr>
    <w:rPr>
      <w:rFonts w:eastAsiaTheme="majorEastAsia" w:cstheme="majorBidi"/>
      <w:i/>
      <w:iCs/>
    </w:rPr>
  </w:style>
  <w:style w:type="paragraph" w:styleId="Heading7">
    <w:name w:val="heading 7"/>
    <w:basedOn w:val="Normal"/>
    <w:next w:val="BodyText2"/>
    <w:link w:val="Heading7Char"/>
    <w:uiPriority w:val="9"/>
    <w:semiHidden/>
    <w:unhideWhenUsed/>
    <w:qFormat/>
    <w:rsid w:val="000149CE"/>
    <w:pPr>
      <w:keepNext/>
      <w:numPr>
        <w:ilvl w:val="6"/>
        <w:numId w:val="3"/>
      </w:numPr>
      <w:spacing w:after="240"/>
      <w:outlineLvl w:val="6"/>
    </w:pPr>
    <w:rPr>
      <w:rFonts w:eastAsiaTheme="majorEastAsia" w:cstheme="majorBidi"/>
      <w:iCs/>
    </w:rPr>
  </w:style>
  <w:style w:type="paragraph" w:styleId="Heading8">
    <w:name w:val="heading 8"/>
    <w:basedOn w:val="Normal"/>
    <w:next w:val="BodyText2"/>
    <w:link w:val="Heading8Char"/>
    <w:uiPriority w:val="9"/>
    <w:semiHidden/>
    <w:unhideWhenUsed/>
    <w:qFormat/>
    <w:rsid w:val="000149CE"/>
    <w:pPr>
      <w:keepNext/>
      <w:numPr>
        <w:ilvl w:val="7"/>
        <w:numId w:val="3"/>
      </w:numPr>
      <w:spacing w:after="240"/>
      <w:outlineLvl w:val="7"/>
    </w:pPr>
    <w:rPr>
      <w:rFonts w:eastAsiaTheme="majorEastAsia" w:cstheme="majorBidi"/>
      <w:i/>
      <w:szCs w:val="20"/>
    </w:rPr>
  </w:style>
  <w:style w:type="paragraph" w:styleId="Heading9">
    <w:name w:val="heading 9"/>
    <w:basedOn w:val="Normal"/>
    <w:next w:val="BodyText2"/>
    <w:link w:val="Heading9Char"/>
    <w:uiPriority w:val="9"/>
    <w:semiHidden/>
    <w:unhideWhenUsed/>
    <w:qFormat/>
    <w:rsid w:val="000149CE"/>
    <w:pPr>
      <w:keepNext/>
      <w:numPr>
        <w:ilvl w:val="8"/>
        <w:numId w:val="3"/>
      </w:num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9CE"/>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B1439C"/>
    <w:rPr>
      <w:rFonts w:ascii="Times New Roman" w:eastAsia="Cambria" w:hAnsi="Times New Roman" w:cstheme="majorBidi"/>
      <w:bCs/>
      <w:i/>
      <w:caps/>
      <w:sz w:val="24"/>
      <w:szCs w:val="26"/>
    </w:rPr>
  </w:style>
  <w:style w:type="paragraph" w:styleId="Title">
    <w:name w:val="Title"/>
    <w:basedOn w:val="Normal"/>
    <w:next w:val="Normal"/>
    <w:link w:val="TitleChar"/>
    <w:uiPriority w:val="1"/>
    <w:qFormat/>
    <w:rsid w:val="00235C18"/>
    <w:pPr>
      <w:keepNext/>
      <w:spacing w:after="360"/>
      <w:ind w:left="1440" w:right="1440"/>
      <w:contextualSpacing/>
      <w:jc w:val="center"/>
    </w:pPr>
    <w:rPr>
      <w:rFonts w:ascii="Times New Roman Bold" w:eastAsiaTheme="majorEastAsia" w:hAnsi="Times New Roman Bold" w:cstheme="majorBidi"/>
      <w:b/>
      <w:caps/>
      <w:szCs w:val="52"/>
    </w:rPr>
  </w:style>
  <w:style w:type="character" w:customStyle="1" w:styleId="TitleChar">
    <w:name w:val="Title Char"/>
    <w:basedOn w:val="DefaultParagraphFont"/>
    <w:link w:val="Title"/>
    <w:uiPriority w:val="1"/>
    <w:rsid w:val="00235C18"/>
    <w:rPr>
      <w:rFonts w:ascii="Times New Roman Bold" w:eastAsiaTheme="majorEastAsia" w:hAnsi="Times New Roman Bold" w:cstheme="majorBidi"/>
      <w:b/>
      <w:caps/>
      <w:sz w:val="24"/>
      <w:szCs w:val="52"/>
    </w:rPr>
  </w:style>
  <w:style w:type="paragraph" w:styleId="Subtitle">
    <w:name w:val="Subtitle"/>
    <w:basedOn w:val="Normal"/>
    <w:next w:val="Normal"/>
    <w:link w:val="SubtitleChar"/>
    <w:uiPriority w:val="11"/>
    <w:qFormat/>
    <w:rsid w:val="00E25EBB"/>
    <w:pPr>
      <w:keepNext/>
      <w:numPr>
        <w:ilvl w:val="1"/>
      </w:numPr>
      <w:ind w:left="1440" w:right="1440"/>
      <w:jc w:val="center"/>
    </w:pPr>
    <w:rPr>
      <w:rFonts w:ascii="Times New Roman Bold" w:eastAsiaTheme="majorEastAsia" w:hAnsi="Times New Roman Bold" w:cstheme="majorBidi"/>
      <w:b/>
      <w:iCs/>
      <w:szCs w:val="24"/>
    </w:rPr>
  </w:style>
  <w:style w:type="character" w:customStyle="1" w:styleId="SubtitleChar">
    <w:name w:val="Subtitle Char"/>
    <w:basedOn w:val="DefaultParagraphFont"/>
    <w:link w:val="Subtitle"/>
    <w:uiPriority w:val="11"/>
    <w:rsid w:val="00E25EBB"/>
    <w:rPr>
      <w:rFonts w:ascii="Times New Roman Bold" w:eastAsiaTheme="majorEastAsia" w:hAnsi="Times New Roman Bold" w:cstheme="majorBidi"/>
      <w:b/>
      <w:iCs/>
      <w:sz w:val="24"/>
      <w:szCs w:val="24"/>
    </w:rPr>
  </w:style>
  <w:style w:type="character" w:styleId="BookTitle">
    <w:name w:val="Book Title"/>
    <w:basedOn w:val="DefaultParagraphFont"/>
    <w:uiPriority w:val="33"/>
    <w:semiHidden/>
    <w:qFormat/>
    <w:rsid w:val="00DF13D6"/>
    <w:rPr>
      <w:b/>
      <w:bCs/>
      <w:smallCaps/>
      <w:spacing w:val="0"/>
    </w:rPr>
  </w:style>
  <w:style w:type="character" w:customStyle="1" w:styleId="Heading3Char">
    <w:name w:val="Heading 3 Char"/>
    <w:basedOn w:val="DefaultParagraphFont"/>
    <w:link w:val="Heading3"/>
    <w:uiPriority w:val="9"/>
    <w:semiHidden/>
    <w:rsid w:val="000149CE"/>
    <w:rPr>
      <w:rFonts w:ascii="Times New Roman" w:eastAsiaTheme="majorEastAsia" w:hAnsi="Times New Roman" w:cstheme="majorBidi"/>
      <w:b/>
      <w:bCs/>
      <w:smallCaps/>
      <w:sz w:val="24"/>
    </w:rPr>
  </w:style>
  <w:style w:type="character" w:customStyle="1" w:styleId="Heading4Char">
    <w:name w:val="Heading 4 Char"/>
    <w:basedOn w:val="DefaultParagraphFont"/>
    <w:link w:val="Heading4"/>
    <w:uiPriority w:val="9"/>
    <w:semiHidden/>
    <w:rsid w:val="000149CE"/>
    <w:rPr>
      <w:rFonts w:ascii="Times New Roman" w:eastAsiaTheme="majorEastAsia" w:hAnsi="Times New Roman" w:cstheme="majorBidi"/>
      <w:bCs/>
      <w:i/>
      <w:iCs/>
      <w:smallCaps/>
      <w:sz w:val="24"/>
    </w:rPr>
  </w:style>
  <w:style w:type="character" w:customStyle="1" w:styleId="Heading5Char">
    <w:name w:val="Heading 5 Char"/>
    <w:basedOn w:val="DefaultParagraphFont"/>
    <w:link w:val="Heading5"/>
    <w:uiPriority w:val="9"/>
    <w:semiHidden/>
    <w:rsid w:val="000149CE"/>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semiHidden/>
    <w:rsid w:val="000149CE"/>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0149CE"/>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semiHidden/>
    <w:rsid w:val="000149CE"/>
    <w:rPr>
      <w:rFonts w:ascii="Times New Roman" w:eastAsiaTheme="majorEastAsia" w:hAnsi="Times New Roman" w:cstheme="majorBidi"/>
      <w:i/>
      <w:sz w:val="24"/>
      <w:szCs w:val="20"/>
    </w:rPr>
  </w:style>
  <w:style w:type="character" w:customStyle="1" w:styleId="Heading9Char">
    <w:name w:val="Heading 9 Char"/>
    <w:basedOn w:val="DefaultParagraphFont"/>
    <w:link w:val="Heading9"/>
    <w:uiPriority w:val="9"/>
    <w:semiHidden/>
    <w:rsid w:val="000149CE"/>
    <w:rPr>
      <w:rFonts w:ascii="Times New Roman" w:eastAsiaTheme="majorEastAsia" w:hAnsi="Times New Roman" w:cstheme="majorBidi"/>
      <w:iCs/>
      <w:sz w:val="24"/>
      <w:szCs w:val="20"/>
    </w:rPr>
  </w:style>
  <w:style w:type="character" w:styleId="SubtleEmphasis">
    <w:name w:val="Subtle Emphasis"/>
    <w:basedOn w:val="DefaultParagraphFont"/>
    <w:uiPriority w:val="19"/>
    <w:semiHidden/>
    <w:qFormat/>
    <w:rsid w:val="00DF13D6"/>
    <w:rPr>
      <w:i/>
      <w:iCs/>
      <w:color w:val="auto"/>
    </w:rPr>
  </w:style>
  <w:style w:type="character" w:styleId="IntenseEmphasis">
    <w:name w:val="Intense Emphasis"/>
    <w:basedOn w:val="DefaultParagraphFont"/>
    <w:uiPriority w:val="21"/>
    <w:semiHidden/>
    <w:qFormat/>
    <w:rsid w:val="00DF13D6"/>
    <w:rPr>
      <w:b/>
      <w:bCs/>
      <w:i/>
      <w:iCs/>
      <w:color w:val="auto"/>
    </w:rPr>
  </w:style>
  <w:style w:type="paragraph" w:styleId="Quote">
    <w:name w:val="Quote"/>
    <w:basedOn w:val="Normal"/>
    <w:next w:val="Normal"/>
    <w:link w:val="QuoteChar"/>
    <w:uiPriority w:val="29"/>
    <w:semiHidden/>
    <w:qFormat/>
    <w:rsid w:val="00084FAC"/>
    <w:pPr>
      <w:ind w:left="1440" w:right="1440"/>
      <w:jc w:val="both"/>
    </w:pPr>
    <w:rPr>
      <w:iCs/>
    </w:rPr>
  </w:style>
  <w:style w:type="character" w:customStyle="1" w:styleId="QuoteChar">
    <w:name w:val="Quote Char"/>
    <w:basedOn w:val="DefaultParagraphFont"/>
    <w:link w:val="Quote"/>
    <w:uiPriority w:val="29"/>
    <w:semiHidden/>
    <w:rsid w:val="00084FAC"/>
    <w:rPr>
      <w:rFonts w:ascii="Times New Roman" w:hAnsi="Times New Roman"/>
      <w:iCs/>
      <w:sz w:val="24"/>
    </w:rPr>
  </w:style>
  <w:style w:type="paragraph" w:styleId="IntenseQuote">
    <w:name w:val="Intense Quote"/>
    <w:basedOn w:val="Normal"/>
    <w:next w:val="Normal"/>
    <w:link w:val="IntenseQuoteChar"/>
    <w:uiPriority w:val="30"/>
    <w:semiHidden/>
    <w:qFormat/>
    <w:rsid w:val="00DF13D6"/>
    <w:pP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084FAC"/>
    <w:rPr>
      <w:rFonts w:ascii="Times New Roman" w:hAnsi="Times New Roman"/>
      <w:b/>
      <w:bCs/>
      <w:i/>
      <w:iCs/>
      <w:sz w:val="24"/>
    </w:rPr>
  </w:style>
  <w:style w:type="character" w:styleId="SubtleReference">
    <w:name w:val="Subtle Reference"/>
    <w:basedOn w:val="DefaultParagraphFont"/>
    <w:uiPriority w:val="31"/>
    <w:semiHidden/>
    <w:qFormat/>
    <w:rsid w:val="00DF13D6"/>
    <w:rPr>
      <w:smallCaps/>
      <w:color w:val="auto"/>
      <w:u w:val="single"/>
    </w:rPr>
  </w:style>
  <w:style w:type="character" w:styleId="IntenseReference">
    <w:name w:val="Intense Reference"/>
    <w:basedOn w:val="DefaultParagraphFont"/>
    <w:uiPriority w:val="32"/>
    <w:semiHidden/>
    <w:qFormat/>
    <w:rsid w:val="00DF13D6"/>
    <w:rPr>
      <w:b/>
      <w:bCs/>
      <w:smallCaps/>
      <w:color w:val="auto"/>
      <w:spacing w:val="5"/>
      <w:u w:val="single"/>
    </w:rPr>
  </w:style>
  <w:style w:type="paragraph" w:styleId="Caption">
    <w:name w:val="caption"/>
    <w:basedOn w:val="Normal"/>
    <w:next w:val="Normal"/>
    <w:uiPriority w:val="35"/>
    <w:unhideWhenUsed/>
    <w:qFormat/>
    <w:rsid w:val="00DF13D6"/>
    <w:rPr>
      <w:b/>
      <w:bCs/>
      <w:szCs w:val="18"/>
    </w:rPr>
  </w:style>
  <w:style w:type="paragraph" w:styleId="TOCHeading">
    <w:name w:val="TOC Heading"/>
    <w:basedOn w:val="Heading1"/>
    <w:next w:val="Normal"/>
    <w:uiPriority w:val="39"/>
    <w:unhideWhenUsed/>
    <w:qFormat/>
    <w:rsid w:val="00DF13D6"/>
    <w:pPr>
      <w:outlineLvl w:val="9"/>
    </w:pPr>
    <w:rPr>
      <w:rFonts w:ascii="Times New Roman" w:hAnsi="Times New Roman"/>
    </w:rPr>
  </w:style>
  <w:style w:type="paragraph" w:styleId="BalloonText">
    <w:name w:val="Balloon Text"/>
    <w:basedOn w:val="Normal"/>
    <w:link w:val="BalloonTextChar"/>
    <w:uiPriority w:val="99"/>
    <w:semiHidden/>
    <w:unhideWhenUsed/>
    <w:rsid w:val="00DF13D6"/>
    <w:rPr>
      <w:rFonts w:cs="Tahoma"/>
      <w:szCs w:val="16"/>
    </w:rPr>
  </w:style>
  <w:style w:type="character" w:customStyle="1" w:styleId="BalloonTextChar">
    <w:name w:val="Balloon Text Char"/>
    <w:basedOn w:val="DefaultParagraphFont"/>
    <w:link w:val="BalloonText"/>
    <w:uiPriority w:val="99"/>
    <w:semiHidden/>
    <w:rsid w:val="00DF13D6"/>
    <w:rPr>
      <w:rFonts w:ascii="Times New Roman" w:hAnsi="Times New Roman" w:cs="Tahoma"/>
      <w:sz w:val="24"/>
      <w:szCs w:val="16"/>
    </w:rPr>
  </w:style>
  <w:style w:type="paragraph" w:styleId="BlockText">
    <w:name w:val="Block Text"/>
    <w:basedOn w:val="Normal"/>
    <w:uiPriority w:val="4"/>
    <w:qFormat/>
    <w:rsid w:val="00084FAC"/>
    <w:pPr>
      <w:ind w:left="1440" w:right="1440"/>
    </w:pPr>
    <w:rPr>
      <w:rFonts w:eastAsiaTheme="minorEastAsia"/>
      <w:iCs/>
    </w:rPr>
  </w:style>
  <w:style w:type="paragraph" w:styleId="BodyText">
    <w:name w:val="Body Text"/>
    <w:basedOn w:val="Normal"/>
    <w:link w:val="BodyTextChar"/>
    <w:qFormat/>
    <w:rsid w:val="00084FAC"/>
    <w:pPr>
      <w:ind w:firstLine="720"/>
    </w:pPr>
  </w:style>
  <w:style w:type="character" w:customStyle="1" w:styleId="BodyTextChar">
    <w:name w:val="Body Text Char"/>
    <w:basedOn w:val="DefaultParagraphFont"/>
    <w:link w:val="BodyText"/>
    <w:rsid w:val="00084FAC"/>
    <w:rPr>
      <w:rFonts w:ascii="Times New Roman" w:hAnsi="Times New Roman"/>
      <w:sz w:val="24"/>
    </w:rPr>
  </w:style>
  <w:style w:type="paragraph" w:styleId="BodyText2">
    <w:name w:val="Body Text 2"/>
    <w:basedOn w:val="Normal"/>
    <w:link w:val="BodyText2Char"/>
    <w:uiPriority w:val="1"/>
    <w:qFormat/>
    <w:rsid w:val="00084FAC"/>
    <w:pPr>
      <w:spacing w:line="480" w:lineRule="auto"/>
      <w:ind w:firstLine="720"/>
    </w:pPr>
  </w:style>
  <w:style w:type="character" w:customStyle="1" w:styleId="BodyText2Char">
    <w:name w:val="Body Text 2 Char"/>
    <w:basedOn w:val="DefaultParagraphFont"/>
    <w:link w:val="BodyText2"/>
    <w:uiPriority w:val="1"/>
    <w:rsid w:val="00084FAC"/>
    <w:rPr>
      <w:rFonts w:ascii="Times New Roman" w:hAnsi="Times New Roman"/>
      <w:sz w:val="24"/>
    </w:rPr>
  </w:style>
  <w:style w:type="paragraph" w:styleId="BodyText3">
    <w:name w:val="Body Text 3"/>
    <w:basedOn w:val="Normal"/>
    <w:link w:val="BodyText3Char"/>
    <w:uiPriority w:val="99"/>
    <w:semiHidden/>
    <w:unhideWhenUsed/>
    <w:rsid w:val="00DF13D6"/>
    <w:rPr>
      <w:szCs w:val="16"/>
    </w:rPr>
  </w:style>
  <w:style w:type="character" w:customStyle="1" w:styleId="BodyText3Char">
    <w:name w:val="Body Text 3 Char"/>
    <w:basedOn w:val="DefaultParagraphFont"/>
    <w:link w:val="BodyText3"/>
    <w:uiPriority w:val="99"/>
    <w:semiHidden/>
    <w:rsid w:val="00DF13D6"/>
    <w:rPr>
      <w:rFonts w:ascii="Times New Roman" w:hAnsi="Times New Roman"/>
      <w:sz w:val="24"/>
      <w:szCs w:val="16"/>
    </w:rPr>
  </w:style>
  <w:style w:type="paragraph" w:styleId="BodyTextFirstIndent">
    <w:name w:val="Body Text First Indent"/>
    <w:basedOn w:val="BodyText"/>
    <w:link w:val="BodyTextFirstIndentChar"/>
    <w:uiPriority w:val="99"/>
    <w:semiHidden/>
    <w:unhideWhenUsed/>
    <w:rsid w:val="00DF13D6"/>
    <w:pPr>
      <w:ind w:firstLine="360"/>
    </w:pPr>
  </w:style>
  <w:style w:type="character" w:customStyle="1" w:styleId="BodyTextFirstIndentChar">
    <w:name w:val="Body Text First Indent Char"/>
    <w:basedOn w:val="BodyTextChar"/>
    <w:link w:val="BodyTextFirstIndent"/>
    <w:uiPriority w:val="99"/>
    <w:semiHidden/>
    <w:rsid w:val="00DF13D6"/>
    <w:rPr>
      <w:rFonts w:ascii="Times New Roman" w:hAnsi="Times New Roman"/>
      <w:sz w:val="24"/>
    </w:rPr>
  </w:style>
  <w:style w:type="paragraph" w:styleId="BodyTextIndent">
    <w:name w:val="Body Text Indent"/>
    <w:basedOn w:val="Normal"/>
    <w:link w:val="BodyTextIndentChar"/>
    <w:uiPriority w:val="99"/>
    <w:semiHidden/>
    <w:unhideWhenUsed/>
    <w:rsid w:val="00DF13D6"/>
    <w:pPr>
      <w:ind w:left="360"/>
    </w:pPr>
  </w:style>
  <w:style w:type="character" w:customStyle="1" w:styleId="BodyTextIndentChar">
    <w:name w:val="Body Text Indent Char"/>
    <w:basedOn w:val="DefaultParagraphFont"/>
    <w:link w:val="BodyTextIndent"/>
    <w:uiPriority w:val="99"/>
    <w:semiHidden/>
    <w:rsid w:val="00DF13D6"/>
    <w:rPr>
      <w:rFonts w:ascii="Times New Roman" w:hAnsi="Times New Roman"/>
      <w:sz w:val="24"/>
    </w:rPr>
  </w:style>
  <w:style w:type="paragraph" w:styleId="BodyTextFirstIndent2">
    <w:name w:val="Body Text First Indent 2"/>
    <w:basedOn w:val="BodyTextIndent"/>
    <w:link w:val="BodyTextFirstIndent2Char"/>
    <w:uiPriority w:val="99"/>
    <w:semiHidden/>
    <w:unhideWhenUsed/>
    <w:rsid w:val="00DF13D6"/>
    <w:pPr>
      <w:ind w:firstLine="360"/>
    </w:pPr>
  </w:style>
  <w:style w:type="character" w:customStyle="1" w:styleId="BodyTextFirstIndent2Char">
    <w:name w:val="Body Text First Indent 2 Char"/>
    <w:basedOn w:val="BodyTextIndentChar"/>
    <w:link w:val="BodyTextFirstIndent2"/>
    <w:uiPriority w:val="99"/>
    <w:semiHidden/>
    <w:rsid w:val="00DF13D6"/>
    <w:rPr>
      <w:rFonts w:ascii="Times New Roman" w:hAnsi="Times New Roman"/>
      <w:sz w:val="24"/>
    </w:rPr>
  </w:style>
  <w:style w:type="paragraph" w:styleId="BodyTextIndent2">
    <w:name w:val="Body Text Indent 2"/>
    <w:basedOn w:val="Normal"/>
    <w:link w:val="BodyTextIndent2Char"/>
    <w:uiPriority w:val="99"/>
    <w:semiHidden/>
    <w:unhideWhenUsed/>
    <w:rsid w:val="00DF13D6"/>
    <w:pPr>
      <w:spacing w:line="480" w:lineRule="auto"/>
      <w:ind w:left="360"/>
      <w:contextualSpacing/>
    </w:pPr>
  </w:style>
  <w:style w:type="character" w:customStyle="1" w:styleId="BodyTextIndent2Char">
    <w:name w:val="Body Text Indent 2 Char"/>
    <w:basedOn w:val="DefaultParagraphFont"/>
    <w:link w:val="BodyTextIndent2"/>
    <w:uiPriority w:val="99"/>
    <w:semiHidden/>
    <w:rsid w:val="00DF13D6"/>
    <w:rPr>
      <w:rFonts w:ascii="Times New Roman" w:hAnsi="Times New Roman"/>
      <w:sz w:val="24"/>
    </w:rPr>
  </w:style>
  <w:style w:type="paragraph" w:styleId="BodyTextIndent3">
    <w:name w:val="Body Text Indent 3"/>
    <w:basedOn w:val="Normal"/>
    <w:link w:val="BodyTextIndent3Char"/>
    <w:uiPriority w:val="99"/>
    <w:semiHidden/>
    <w:unhideWhenUsed/>
    <w:rsid w:val="00DF13D6"/>
    <w:pPr>
      <w:ind w:left="360"/>
    </w:pPr>
    <w:rPr>
      <w:szCs w:val="16"/>
    </w:rPr>
  </w:style>
  <w:style w:type="character" w:customStyle="1" w:styleId="BodyTextIndent3Char">
    <w:name w:val="Body Text Indent 3 Char"/>
    <w:basedOn w:val="DefaultParagraphFont"/>
    <w:link w:val="BodyTextIndent3"/>
    <w:uiPriority w:val="99"/>
    <w:semiHidden/>
    <w:rsid w:val="00DF13D6"/>
    <w:rPr>
      <w:rFonts w:ascii="Times New Roman" w:hAnsi="Times New Roman"/>
      <w:sz w:val="24"/>
      <w:szCs w:val="16"/>
    </w:rPr>
  </w:style>
  <w:style w:type="paragraph" w:styleId="EndnoteText">
    <w:name w:val="endnote text"/>
    <w:basedOn w:val="Normal"/>
    <w:link w:val="EndnoteTextChar"/>
    <w:uiPriority w:val="99"/>
    <w:semiHidden/>
    <w:unhideWhenUsed/>
    <w:rsid w:val="00DF13D6"/>
    <w:rPr>
      <w:szCs w:val="20"/>
    </w:rPr>
  </w:style>
  <w:style w:type="character" w:customStyle="1" w:styleId="EndnoteTextChar">
    <w:name w:val="Endnote Text Char"/>
    <w:basedOn w:val="DefaultParagraphFont"/>
    <w:link w:val="EndnoteText"/>
    <w:uiPriority w:val="99"/>
    <w:semiHidden/>
    <w:rsid w:val="00DF13D6"/>
    <w:rPr>
      <w:rFonts w:ascii="Times New Roman" w:hAnsi="Times New Roman"/>
      <w:sz w:val="24"/>
      <w:szCs w:val="20"/>
    </w:rPr>
  </w:style>
  <w:style w:type="paragraph" w:styleId="EnvelopeAddress">
    <w:name w:val="envelope address"/>
    <w:basedOn w:val="Normal"/>
    <w:uiPriority w:val="99"/>
    <w:semiHidden/>
    <w:unhideWhenUsed/>
    <w:rsid w:val="00DF13D6"/>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DF13D6"/>
    <w:rPr>
      <w:rFonts w:eastAsiaTheme="majorEastAsia" w:cstheme="majorBidi"/>
      <w:szCs w:val="20"/>
    </w:rPr>
  </w:style>
  <w:style w:type="paragraph" w:styleId="FootnoteText">
    <w:name w:val="footnote text"/>
    <w:basedOn w:val="Normal"/>
    <w:link w:val="FootnoteTextChar"/>
    <w:uiPriority w:val="99"/>
    <w:unhideWhenUsed/>
    <w:rsid w:val="00AE760C"/>
    <w:pPr>
      <w:spacing w:after="240"/>
    </w:pPr>
    <w:rPr>
      <w:szCs w:val="20"/>
    </w:rPr>
  </w:style>
  <w:style w:type="character" w:customStyle="1" w:styleId="FootnoteTextChar">
    <w:name w:val="Footnote Text Char"/>
    <w:basedOn w:val="DefaultParagraphFont"/>
    <w:link w:val="FootnoteText"/>
    <w:uiPriority w:val="99"/>
    <w:rsid w:val="00AE760C"/>
    <w:rPr>
      <w:rFonts w:ascii="Times New Roman" w:hAnsi="Times New Roman"/>
      <w:sz w:val="24"/>
      <w:szCs w:val="20"/>
    </w:rPr>
  </w:style>
  <w:style w:type="paragraph" w:styleId="Index1">
    <w:name w:val="index 1"/>
    <w:basedOn w:val="Normal"/>
    <w:next w:val="Normal"/>
    <w:autoRedefine/>
    <w:uiPriority w:val="99"/>
    <w:semiHidden/>
    <w:unhideWhenUsed/>
    <w:rsid w:val="00DF13D6"/>
    <w:pPr>
      <w:ind w:left="240" w:hanging="240"/>
    </w:pPr>
  </w:style>
  <w:style w:type="paragraph" w:styleId="IndexHeading">
    <w:name w:val="index heading"/>
    <w:basedOn w:val="Normal"/>
    <w:next w:val="Index1"/>
    <w:uiPriority w:val="99"/>
    <w:semiHidden/>
    <w:unhideWhenUsed/>
    <w:rsid w:val="00DF13D6"/>
    <w:rPr>
      <w:rFonts w:eastAsiaTheme="majorEastAsia" w:cstheme="majorBidi"/>
      <w:b/>
      <w:bCs/>
    </w:rPr>
  </w:style>
  <w:style w:type="paragraph" w:styleId="TOAHeading">
    <w:name w:val="toa heading"/>
    <w:basedOn w:val="Normal"/>
    <w:next w:val="Normal"/>
    <w:uiPriority w:val="99"/>
    <w:semiHidden/>
    <w:unhideWhenUsed/>
    <w:rsid w:val="00DF13D6"/>
    <w:rPr>
      <w:rFonts w:eastAsiaTheme="majorEastAsia" w:cstheme="majorBidi"/>
      <w:b/>
      <w:bCs/>
      <w:szCs w:val="24"/>
    </w:rPr>
  </w:style>
  <w:style w:type="paragraph" w:styleId="TableofFigures">
    <w:name w:val="table of figures"/>
    <w:basedOn w:val="Normal"/>
    <w:next w:val="Normal"/>
    <w:uiPriority w:val="99"/>
    <w:semiHidden/>
    <w:unhideWhenUsed/>
    <w:rsid w:val="00DF13D6"/>
  </w:style>
  <w:style w:type="paragraph" w:styleId="TableofAuthorities">
    <w:name w:val="table of authorities"/>
    <w:basedOn w:val="Normal"/>
    <w:next w:val="Normal"/>
    <w:uiPriority w:val="99"/>
    <w:semiHidden/>
    <w:unhideWhenUsed/>
    <w:rsid w:val="00DF13D6"/>
    <w:pPr>
      <w:ind w:left="245" w:hanging="245"/>
    </w:pPr>
  </w:style>
  <w:style w:type="paragraph" w:styleId="NoSpacing">
    <w:name w:val="No Spacing"/>
    <w:aliases w:val="LeftAlign"/>
    <w:uiPriority w:val="1"/>
    <w:qFormat/>
    <w:rsid w:val="007B2423"/>
    <w:pPr>
      <w:spacing w:after="0" w:line="240" w:lineRule="auto"/>
    </w:pPr>
    <w:rPr>
      <w:rFonts w:ascii="Times New Roman" w:hAnsi="Times New Roman"/>
      <w:sz w:val="24"/>
    </w:rPr>
  </w:style>
  <w:style w:type="paragraph" w:styleId="ListParagraph">
    <w:name w:val="List Paragraph"/>
    <w:basedOn w:val="Normal"/>
    <w:link w:val="ListParagraphChar"/>
    <w:uiPriority w:val="34"/>
    <w:qFormat/>
    <w:rsid w:val="007B2423"/>
    <w:pPr>
      <w:ind w:left="720"/>
      <w:contextualSpacing/>
    </w:pPr>
  </w:style>
  <w:style w:type="paragraph" w:customStyle="1" w:styleId="Bullet">
    <w:name w:val="Bullet"/>
    <w:basedOn w:val="ListParagraph"/>
    <w:link w:val="BulletChar"/>
    <w:qFormat/>
    <w:rsid w:val="0071554E"/>
    <w:pPr>
      <w:numPr>
        <w:numId w:val="4"/>
      </w:numPr>
      <w:spacing w:after="240"/>
      <w:contextualSpacing w:val="0"/>
    </w:pPr>
  </w:style>
  <w:style w:type="paragraph" w:styleId="Signature">
    <w:name w:val="Signature"/>
    <w:basedOn w:val="Normal"/>
    <w:link w:val="SignatureChar"/>
    <w:uiPriority w:val="99"/>
    <w:qFormat/>
    <w:rsid w:val="00084FAC"/>
    <w:pPr>
      <w:ind w:left="4320"/>
    </w:pPr>
  </w:style>
  <w:style w:type="character" w:customStyle="1" w:styleId="ListParagraphChar">
    <w:name w:val="List Paragraph Char"/>
    <w:basedOn w:val="DefaultParagraphFont"/>
    <w:link w:val="ListParagraph"/>
    <w:uiPriority w:val="34"/>
    <w:rsid w:val="007B2423"/>
    <w:rPr>
      <w:rFonts w:ascii="Times New Roman" w:hAnsi="Times New Roman"/>
      <w:sz w:val="24"/>
    </w:rPr>
  </w:style>
  <w:style w:type="character" w:customStyle="1" w:styleId="BulletChar">
    <w:name w:val="Bullet Char"/>
    <w:basedOn w:val="ListParagraphChar"/>
    <w:link w:val="Bullet"/>
    <w:rsid w:val="0071554E"/>
    <w:rPr>
      <w:rFonts w:ascii="Times New Roman" w:hAnsi="Times New Roman"/>
      <w:sz w:val="24"/>
    </w:rPr>
  </w:style>
  <w:style w:type="character" w:customStyle="1" w:styleId="SignatureChar">
    <w:name w:val="Signature Char"/>
    <w:basedOn w:val="DefaultParagraphFont"/>
    <w:link w:val="Signature"/>
    <w:uiPriority w:val="99"/>
    <w:rsid w:val="00084FAC"/>
    <w:rPr>
      <w:rFonts w:ascii="Times New Roman" w:hAnsi="Times New Roman"/>
      <w:sz w:val="24"/>
    </w:rPr>
  </w:style>
  <w:style w:type="character" w:styleId="FootnoteReference">
    <w:name w:val="footnote reference"/>
    <w:basedOn w:val="DefaultParagraphFont"/>
    <w:uiPriority w:val="99"/>
    <w:semiHidden/>
    <w:unhideWhenUsed/>
    <w:rsid w:val="00A36642"/>
    <w:rPr>
      <w:vertAlign w:val="superscript"/>
    </w:rPr>
  </w:style>
  <w:style w:type="paragraph" w:customStyle="1" w:styleId="StyleCentered">
    <w:name w:val="Style Centered"/>
    <w:basedOn w:val="Normal"/>
    <w:link w:val="StyleCenteredChar"/>
    <w:rsid w:val="00B74715"/>
    <w:pPr>
      <w:jc w:val="center"/>
    </w:pPr>
    <w:rPr>
      <w:szCs w:val="20"/>
    </w:rPr>
  </w:style>
  <w:style w:type="paragraph" w:customStyle="1" w:styleId="StyleBoldCentered">
    <w:name w:val="Style Bold Centered"/>
    <w:basedOn w:val="Normal"/>
    <w:rsid w:val="00B74715"/>
    <w:pPr>
      <w:ind w:left="720" w:right="720"/>
      <w:jc w:val="center"/>
    </w:pPr>
    <w:rPr>
      <w:rFonts w:ascii="Times New Roman Bold" w:hAnsi="Times New Roman Bold"/>
      <w:b/>
      <w:bCs/>
      <w:caps/>
      <w:szCs w:val="20"/>
    </w:rPr>
  </w:style>
  <w:style w:type="paragraph" w:customStyle="1" w:styleId="PartyName">
    <w:name w:val="Party Name"/>
    <w:basedOn w:val="Normal"/>
    <w:rsid w:val="00B74715"/>
    <w:pPr>
      <w:spacing w:line="240" w:lineRule="exact"/>
    </w:pPr>
    <w:rPr>
      <w:szCs w:val="20"/>
    </w:rPr>
  </w:style>
  <w:style w:type="paragraph" w:customStyle="1" w:styleId="PartyTitle">
    <w:name w:val="Party Title"/>
    <w:basedOn w:val="PartyName"/>
    <w:rsid w:val="00B74715"/>
    <w:pPr>
      <w:spacing w:before="240" w:after="240"/>
      <w:ind w:left="2880"/>
    </w:pPr>
  </w:style>
  <w:style w:type="paragraph" w:customStyle="1" w:styleId="CaptionRight">
    <w:name w:val="CaptionRight"/>
    <w:basedOn w:val="Normal"/>
    <w:rsid w:val="00B74715"/>
    <w:pPr>
      <w:spacing w:line="240" w:lineRule="exact"/>
      <w:ind w:left="288"/>
    </w:pPr>
  </w:style>
  <w:style w:type="paragraph" w:customStyle="1" w:styleId="Versus">
    <w:name w:val="Versus"/>
    <w:basedOn w:val="PartyName"/>
    <w:rsid w:val="00B74715"/>
    <w:pPr>
      <w:spacing w:after="240"/>
      <w:ind w:left="720"/>
    </w:pPr>
  </w:style>
  <w:style w:type="paragraph" w:customStyle="1" w:styleId="StyleLeft35">
    <w:name w:val="Style Left:  3.5&quot;"/>
    <w:basedOn w:val="Normal"/>
    <w:rsid w:val="00B74715"/>
    <w:pPr>
      <w:ind w:left="5040"/>
    </w:pPr>
    <w:rPr>
      <w:szCs w:val="20"/>
    </w:rPr>
  </w:style>
  <w:style w:type="paragraph" w:styleId="Header">
    <w:name w:val="header"/>
    <w:basedOn w:val="Normal"/>
    <w:link w:val="HeaderChar"/>
    <w:rsid w:val="00B74715"/>
    <w:pPr>
      <w:tabs>
        <w:tab w:val="center" w:pos="4320"/>
        <w:tab w:val="right" w:pos="8640"/>
      </w:tabs>
    </w:pPr>
  </w:style>
  <w:style w:type="character" w:customStyle="1" w:styleId="HeaderChar">
    <w:name w:val="Header Char"/>
    <w:basedOn w:val="DefaultParagraphFont"/>
    <w:link w:val="Header"/>
    <w:rsid w:val="00B74715"/>
    <w:rPr>
      <w:rFonts w:ascii="Times New Roman" w:hAnsi="Times New Roman"/>
      <w:sz w:val="24"/>
    </w:rPr>
  </w:style>
  <w:style w:type="paragraph" w:customStyle="1" w:styleId="StyleLeft4">
    <w:name w:val="Style Left:  4&quot;"/>
    <w:basedOn w:val="Normal"/>
    <w:rsid w:val="00B74715"/>
    <w:pPr>
      <w:ind w:left="5760"/>
    </w:pPr>
    <w:rPr>
      <w:szCs w:val="20"/>
    </w:rPr>
  </w:style>
  <w:style w:type="paragraph" w:customStyle="1" w:styleId="StyleAllcapsLeft35">
    <w:name w:val="Style All caps Left:  3.5&quot;"/>
    <w:basedOn w:val="Normal"/>
    <w:rsid w:val="00B74715"/>
    <w:pPr>
      <w:ind w:left="5040"/>
    </w:pPr>
    <w:rPr>
      <w:caps/>
      <w:szCs w:val="20"/>
    </w:rPr>
  </w:style>
  <w:style w:type="paragraph" w:styleId="TOC1">
    <w:name w:val="toc 1"/>
    <w:basedOn w:val="Normal"/>
    <w:next w:val="Normal"/>
    <w:autoRedefine/>
    <w:uiPriority w:val="39"/>
    <w:unhideWhenUsed/>
    <w:rsid w:val="00E25EBB"/>
    <w:pPr>
      <w:tabs>
        <w:tab w:val="right" w:leader="dot" w:pos="9360"/>
      </w:tabs>
      <w:spacing w:before="120" w:after="120"/>
      <w:ind w:left="720" w:right="720" w:hanging="720"/>
      <w:jc w:val="both"/>
    </w:pPr>
  </w:style>
  <w:style w:type="paragraph" w:styleId="TOC2">
    <w:name w:val="toc 2"/>
    <w:basedOn w:val="Normal"/>
    <w:next w:val="Normal"/>
    <w:autoRedefine/>
    <w:uiPriority w:val="39"/>
    <w:unhideWhenUsed/>
    <w:rsid w:val="00423192"/>
    <w:pPr>
      <w:tabs>
        <w:tab w:val="right" w:leader="dot" w:pos="9360"/>
      </w:tabs>
      <w:spacing w:before="120" w:after="120"/>
      <w:ind w:left="540" w:right="720" w:hanging="540"/>
      <w:jc w:val="both"/>
    </w:pPr>
  </w:style>
  <w:style w:type="paragraph" w:styleId="TOC3">
    <w:name w:val="toc 3"/>
    <w:basedOn w:val="Normal"/>
    <w:next w:val="Normal"/>
    <w:autoRedefine/>
    <w:uiPriority w:val="39"/>
    <w:unhideWhenUsed/>
    <w:rsid w:val="000D25F2"/>
    <w:pPr>
      <w:tabs>
        <w:tab w:val="left" w:pos="1080"/>
        <w:tab w:val="right" w:leader="dot" w:pos="9360"/>
      </w:tabs>
      <w:spacing w:before="120" w:after="120"/>
      <w:ind w:left="1080" w:right="720" w:hanging="540"/>
      <w:jc w:val="both"/>
    </w:pPr>
  </w:style>
  <w:style w:type="paragraph" w:styleId="TOC4">
    <w:name w:val="toc 4"/>
    <w:basedOn w:val="Normal"/>
    <w:next w:val="Normal"/>
    <w:autoRedefine/>
    <w:uiPriority w:val="39"/>
    <w:semiHidden/>
    <w:unhideWhenUsed/>
    <w:rsid w:val="00E25EBB"/>
    <w:pPr>
      <w:tabs>
        <w:tab w:val="right" w:leader="dot" w:pos="9360"/>
      </w:tabs>
      <w:spacing w:after="120"/>
      <w:ind w:left="1080" w:hanging="360"/>
    </w:pPr>
  </w:style>
  <w:style w:type="paragraph" w:styleId="TOC5">
    <w:name w:val="toc 5"/>
    <w:basedOn w:val="Normal"/>
    <w:next w:val="Normal"/>
    <w:autoRedefine/>
    <w:uiPriority w:val="39"/>
    <w:semiHidden/>
    <w:unhideWhenUsed/>
    <w:rsid w:val="00E25EBB"/>
    <w:pPr>
      <w:tabs>
        <w:tab w:val="right" w:leader="dot" w:pos="9360"/>
      </w:tabs>
      <w:spacing w:after="100"/>
      <w:ind w:left="1440" w:hanging="360"/>
    </w:pPr>
  </w:style>
  <w:style w:type="paragraph" w:styleId="TOC6">
    <w:name w:val="toc 6"/>
    <w:basedOn w:val="Normal"/>
    <w:next w:val="Normal"/>
    <w:autoRedefine/>
    <w:uiPriority w:val="39"/>
    <w:semiHidden/>
    <w:unhideWhenUsed/>
    <w:rsid w:val="00E25EBB"/>
    <w:pPr>
      <w:spacing w:after="100"/>
      <w:ind w:left="1200"/>
    </w:pPr>
  </w:style>
  <w:style w:type="paragraph" w:styleId="TOC7">
    <w:name w:val="toc 7"/>
    <w:basedOn w:val="Normal"/>
    <w:next w:val="Normal"/>
    <w:autoRedefine/>
    <w:uiPriority w:val="39"/>
    <w:semiHidden/>
    <w:unhideWhenUsed/>
    <w:rsid w:val="00E25EBB"/>
    <w:pPr>
      <w:spacing w:after="100"/>
      <w:ind w:left="1440"/>
    </w:pPr>
  </w:style>
  <w:style w:type="paragraph" w:styleId="TOC8">
    <w:name w:val="toc 8"/>
    <w:basedOn w:val="Normal"/>
    <w:next w:val="Normal"/>
    <w:autoRedefine/>
    <w:uiPriority w:val="39"/>
    <w:semiHidden/>
    <w:unhideWhenUsed/>
    <w:rsid w:val="00E25EBB"/>
    <w:pPr>
      <w:spacing w:after="100"/>
      <w:ind w:left="1680"/>
    </w:pPr>
  </w:style>
  <w:style w:type="paragraph" w:styleId="TOC9">
    <w:name w:val="toc 9"/>
    <w:basedOn w:val="Normal"/>
    <w:next w:val="Normal"/>
    <w:autoRedefine/>
    <w:uiPriority w:val="39"/>
    <w:semiHidden/>
    <w:unhideWhenUsed/>
    <w:rsid w:val="00E25EBB"/>
    <w:pPr>
      <w:spacing w:after="100"/>
      <w:ind w:left="1920"/>
    </w:pPr>
  </w:style>
  <w:style w:type="paragraph" w:customStyle="1" w:styleId="Heading1Continued">
    <w:name w:val="Heading 1 Continued"/>
    <w:basedOn w:val="Heading1"/>
    <w:next w:val="BodyText"/>
    <w:link w:val="Heading1ContinuedChar"/>
    <w:semiHidden/>
    <w:rsid w:val="00E25EBB"/>
    <w:pPr>
      <w:outlineLvl w:val="9"/>
    </w:pPr>
  </w:style>
  <w:style w:type="character" w:customStyle="1" w:styleId="StyleCenteredChar">
    <w:name w:val="Style Centered Char"/>
    <w:basedOn w:val="DefaultParagraphFont"/>
    <w:link w:val="StyleCentered"/>
    <w:rsid w:val="00E25EBB"/>
    <w:rPr>
      <w:rFonts w:ascii="Times New Roman" w:hAnsi="Times New Roman"/>
      <w:sz w:val="24"/>
      <w:szCs w:val="20"/>
    </w:rPr>
  </w:style>
  <w:style w:type="character" w:customStyle="1" w:styleId="Heading1ContinuedChar">
    <w:name w:val="Heading 1 Continued Char"/>
    <w:basedOn w:val="StyleCenteredChar"/>
    <w:link w:val="Heading1Continued"/>
    <w:semiHidden/>
    <w:rsid w:val="002854B8"/>
    <w:rPr>
      <w:rFonts w:ascii="Times New Roman Bold" w:eastAsiaTheme="majorEastAsia" w:hAnsi="Times New Roman Bold" w:cstheme="majorBidi"/>
      <w:b/>
      <w:bCs/>
      <w:caps/>
      <w:sz w:val="24"/>
      <w:szCs w:val="28"/>
    </w:rPr>
  </w:style>
  <w:style w:type="paragraph" w:customStyle="1" w:styleId="Heading2Continued">
    <w:name w:val="Heading 2 Continued"/>
    <w:basedOn w:val="Heading2"/>
    <w:next w:val="BodyText"/>
    <w:link w:val="Heading2ContinuedChar"/>
    <w:semiHidden/>
    <w:rsid w:val="00E25EBB"/>
    <w:pPr>
      <w:outlineLvl w:val="9"/>
    </w:pPr>
  </w:style>
  <w:style w:type="character" w:customStyle="1" w:styleId="Heading2ContinuedChar">
    <w:name w:val="Heading 2 Continued Char"/>
    <w:basedOn w:val="StyleCenteredChar"/>
    <w:link w:val="Heading2Continued"/>
    <w:semiHidden/>
    <w:rsid w:val="002854B8"/>
    <w:rPr>
      <w:rFonts w:ascii="Times New Roman" w:eastAsiaTheme="majorEastAsia" w:hAnsi="Times New Roman" w:cstheme="majorBidi"/>
      <w:bCs/>
      <w:i/>
      <w:caps/>
      <w:sz w:val="24"/>
      <w:szCs w:val="26"/>
    </w:rPr>
  </w:style>
  <w:style w:type="paragraph" w:customStyle="1" w:styleId="Heading3Continued">
    <w:name w:val="Heading 3 Continued"/>
    <w:basedOn w:val="Heading3"/>
    <w:next w:val="BodyText"/>
    <w:link w:val="Heading3ContinuedChar"/>
    <w:semiHidden/>
    <w:rsid w:val="00E25EBB"/>
    <w:pPr>
      <w:outlineLvl w:val="9"/>
    </w:pPr>
  </w:style>
  <w:style w:type="character" w:customStyle="1" w:styleId="Heading3ContinuedChar">
    <w:name w:val="Heading 3 Continued Char"/>
    <w:basedOn w:val="StyleCenteredChar"/>
    <w:link w:val="Heading3Continued"/>
    <w:semiHidden/>
    <w:rsid w:val="002854B8"/>
    <w:rPr>
      <w:rFonts w:ascii="Times New Roman" w:eastAsiaTheme="majorEastAsia" w:hAnsi="Times New Roman" w:cstheme="majorBidi"/>
      <w:b/>
      <w:bCs/>
      <w:smallCaps/>
      <w:sz w:val="24"/>
      <w:szCs w:val="20"/>
    </w:rPr>
  </w:style>
  <w:style w:type="paragraph" w:customStyle="1" w:styleId="Heading4Continued">
    <w:name w:val="Heading 4 Continued"/>
    <w:basedOn w:val="Heading4"/>
    <w:next w:val="BodyText"/>
    <w:link w:val="Heading4ContinuedChar"/>
    <w:semiHidden/>
    <w:rsid w:val="00E25EBB"/>
    <w:pPr>
      <w:outlineLvl w:val="9"/>
    </w:pPr>
  </w:style>
  <w:style w:type="character" w:customStyle="1" w:styleId="Heading4ContinuedChar">
    <w:name w:val="Heading 4 Continued Char"/>
    <w:basedOn w:val="StyleCenteredChar"/>
    <w:link w:val="Heading4Continued"/>
    <w:semiHidden/>
    <w:rsid w:val="002854B8"/>
    <w:rPr>
      <w:rFonts w:ascii="Times New Roman" w:eastAsiaTheme="majorEastAsia" w:hAnsi="Times New Roman" w:cstheme="majorBidi"/>
      <w:bCs/>
      <w:i/>
      <w:iCs/>
      <w:smallCaps/>
      <w:sz w:val="24"/>
      <w:szCs w:val="20"/>
    </w:rPr>
  </w:style>
  <w:style w:type="paragraph" w:styleId="Footer">
    <w:name w:val="footer"/>
    <w:basedOn w:val="Normal"/>
    <w:link w:val="FooterChar"/>
    <w:uiPriority w:val="99"/>
    <w:unhideWhenUsed/>
    <w:rsid w:val="00E25EBB"/>
    <w:pPr>
      <w:tabs>
        <w:tab w:val="center" w:pos="4680"/>
        <w:tab w:val="right" w:pos="9360"/>
      </w:tabs>
    </w:pPr>
  </w:style>
  <w:style w:type="character" w:customStyle="1" w:styleId="FooterChar">
    <w:name w:val="Footer Char"/>
    <w:basedOn w:val="DefaultParagraphFont"/>
    <w:link w:val="Footer"/>
    <w:uiPriority w:val="99"/>
    <w:rsid w:val="00E25EBB"/>
    <w:rPr>
      <w:rFonts w:ascii="Times New Roman" w:hAnsi="Times New Roman"/>
      <w:sz w:val="24"/>
    </w:rPr>
  </w:style>
  <w:style w:type="paragraph" w:styleId="Bibliography">
    <w:name w:val="Bibliography"/>
    <w:basedOn w:val="Normal"/>
    <w:next w:val="Normal"/>
    <w:uiPriority w:val="37"/>
    <w:semiHidden/>
    <w:unhideWhenUsed/>
    <w:rsid w:val="000149CE"/>
  </w:style>
  <w:style w:type="character" w:styleId="PlaceholderText">
    <w:name w:val="Placeholder Text"/>
    <w:basedOn w:val="DefaultParagraphFont"/>
    <w:uiPriority w:val="99"/>
    <w:semiHidden/>
    <w:rsid w:val="00431C4E"/>
    <w:rPr>
      <w:color w:val="808080"/>
    </w:rPr>
  </w:style>
  <w:style w:type="character" w:styleId="Hyperlink">
    <w:name w:val="Hyperlink"/>
    <w:basedOn w:val="DefaultParagraphFont"/>
    <w:uiPriority w:val="99"/>
    <w:unhideWhenUsed/>
    <w:rsid w:val="0072099E"/>
    <w:rPr>
      <w:color w:val="0000FF" w:themeColor="hyperlink"/>
      <w:u w:val="single"/>
    </w:rPr>
  </w:style>
  <w:style w:type="character" w:styleId="CommentReference">
    <w:name w:val="annotation reference"/>
    <w:basedOn w:val="DefaultParagraphFont"/>
    <w:uiPriority w:val="99"/>
    <w:semiHidden/>
    <w:unhideWhenUsed/>
    <w:rsid w:val="006D3F0B"/>
    <w:rPr>
      <w:sz w:val="16"/>
      <w:szCs w:val="16"/>
    </w:rPr>
  </w:style>
  <w:style w:type="paragraph" w:styleId="CommentText">
    <w:name w:val="annotation text"/>
    <w:basedOn w:val="Normal"/>
    <w:link w:val="CommentTextChar"/>
    <w:uiPriority w:val="99"/>
    <w:semiHidden/>
    <w:unhideWhenUsed/>
    <w:rsid w:val="006D3F0B"/>
    <w:rPr>
      <w:sz w:val="20"/>
      <w:szCs w:val="20"/>
    </w:rPr>
  </w:style>
  <w:style w:type="character" w:customStyle="1" w:styleId="CommentTextChar">
    <w:name w:val="Comment Text Char"/>
    <w:basedOn w:val="DefaultParagraphFont"/>
    <w:link w:val="CommentText"/>
    <w:uiPriority w:val="99"/>
    <w:semiHidden/>
    <w:rsid w:val="006D3F0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D3F0B"/>
    <w:rPr>
      <w:b/>
      <w:bCs/>
    </w:rPr>
  </w:style>
  <w:style w:type="character" w:customStyle="1" w:styleId="CommentSubjectChar">
    <w:name w:val="Comment Subject Char"/>
    <w:basedOn w:val="CommentTextChar"/>
    <w:link w:val="CommentSubject"/>
    <w:uiPriority w:val="99"/>
    <w:semiHidden/>
    <w:rsid w:val="006D3F0B"/>
    <w:rPr>
      <w:rFonts w:ascii="Times New Roman" w:hAnsi="Times New Roman"/>
      <w:b/>
      <w:bCs/>
      <w:sz w:val="20"/>
      <w:szCs w:val="20"/>
    </w:rPr>
  </w:style>
  <w:style w:type="paragraph" w:customStyle="1" w:styleId="Style1">
    <w:name w:val="Style1"/>
    <w:basedOn w:val="Heading2"/>
    <w:link w:val="Style1Char"/>
    <w:qFormat/>
    <w:rsid w:val="00B1439C"/>
    <w:rPr>
      <w:b/>
      <w:i w:val="0"/>
      <w:caps w:val="0"/>
    </w:rPr>
  </w:style>
  <w:style w:type="table" w:styleId="TableGrid">
    <w:name w:val="Table Grid"/>
    <w:basedOn w:val="TableNormal"/>
    <w:uiPriority w:val="59"/>
    <w:rsid w:val="00EC0AC8"/>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Char">
    <w:name w:val="Style1 Char"/>
    <w:basedOn w:val="Heading2Char"/>
    <w:link w:val="Style1"/>
    <w:rsid w:val="00B1439C"/>
    <w:rPr>
      <w:rFonts w:ascii="Times New Roman" w:eastAsia="Cambria" w:hAnsi="Times New Roman" w:cstheme="majorBidi"/>
      <w:b/>
      <w:bCs/>
      <w:i w:val="0"/>
      <w:caps w:val="0"/>
      <w:sz w:val="24"/>
      <w:szCs w:val="26"/>
    </w:rPr>
  </w:style>
  <w:style w:type="character" w:styleId="FollowedHyperlink">
    <w:name w:val="FollowedHyperlink"/>
    <w:basedOn w:val="DefaultParagraphFont"/>
    <w:uiPriority w:val="99"/>
    <w:semiHidden/>
    <w:unhideWhenUsed/>
    <w:rsid w:val="00530DA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88787113">
      <w:bodyDiv w:val="1"/>
      <w:marLeft w:val="0"/>
      <w:marRight w:val="0"/>
      <w:marTop w:val="0"/>
      <w:marBottom w:val="0"/>
      <w:divBdr>
        <w:top w:val="none" w:sz="0" w:space="0" w:color="auto"/>
        <w:left w:val="none" w:sz="0" w:space="0" w:color="auto"/>
        <w:bottom w:val="none" w:sz="0" w:space="0" w:color="auto"/>
        <w:right w:val="none" w:sz="0" w:space="0" w:color="auto"/>
      </w:divBdr>
    </w:div>
    <w:div w:id="149726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ictionary.reference.com/browse/identifiable?s=t" TargetMode="External"/><Relationship Id="rId2" Type="http://schemas.openxmlformats.org/officeDocument/2006/relationships/hyperlink" Target="http://files.ctia.org/pdf/CTIA_LBS_Best_Practices_Adopted_03_10.pdf" TargetMode="External"/><Relationship Id="rId1" Type="http://schemas.openxmlformats.org/officeDocument/2006/relationships/hyperlink" Target="http://files.ctia.org/pdf/The_Code.pdf" TargetMode="External"/><Relationship Id="rId5" Type="http://schemas.openxmlformats.org/officeDocument/2006/relationships/hyperlink" Target="http://www.whitehouse.gov/sites/default/files/privacy-final.pdf" TargetMode="External"/><Relationship Id="rId4" Type="http://schemas.openxmlformats.org/officeDocument/2006/relationships/hyperlink" Target="http://www.merriam-webster.com/dictionary/identif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New%20FCC%20Rulemak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3494E3883C5443FA6C493E3A41E0085"/>
        <w:category>
          <w:name w:val="General"/>
          <w:gallery w:val="placeholder"/>
        </w:category>
        <w:types>
          <w:type w:val="bbPlcHdr"/>
        </w:types>
        <w:behaviors>
          <w:behavior w:val="content"/>
        </w:behaviors>
        <w:guid w:val="{646940CE-7BC8-4092-9032-EE39F3DEC6B5}"/>
      </w:docPartPr>
      <w:docPartBody>
        <w:p w:rsidR="008D27DB" w:rsidRDefault="008D27DB"/>
      </w:docPartBody>
    </w:docPart>
    <w:docPart>
      <w:docPartPr>
        <w:name w:val="034B84AF96DD42F981A01916BBB24B85"/>
        <w:category>
          <w:name w:val="General"/>
          <w:gallery w:val="placeholder"/>
        </w:category>
        <w:types>
          <w:type w:val="bbPlcHdr"/>
        </w:types>
        <w:behaviors>
          <w:behavior w:val="content"/>
        </w:behaviors>
        <w:guid w:val="{4986D6B5-F324-446A-88FB-6EC1CD09EC8B}"/>
      </w:docPartPr>
      <w:docPartBody>
        <w:p w:rsidR="00FB6519" w:rsidRDefault="00FB6519"/>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F7892"/>
    <w:rsid w:val="000A7B5B"/>
    <w:rsid w:val="008D27DB"/>
    <w:rsid w:val="009074B7"/>
    <w:rsid w:val="00A80A0E"/>
    <w:rsid w:val="00C34470"/>
    <w:rsid w:val="00EF7892"/>
    <w:rsid w:val="00F364F1"/>
    <w:rsid w:val="00FB5B81"/>
    <w:rsid w:val="00FB65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B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7892"/>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2F8A3-D393-4D47-83E1-36F6554D3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FCC Rulemaking.dotx</Template>
  <TotalTime>2</TotalTime>
  <Pages>18</Pages>
  <Words>4135</Words>
  <Characters>23574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Wilkinson Barker &amp; Knauer</Company>
  <LinksUpToDate>false</LinksUpToDate>
  <CharactersWithSpaces>27654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Barton, Lisa</dc:creator>
  <dc:description>~Subtitle~</dc:description>
  <cp:lastModifiedBy>kwitanowski</cp:lastModifiedBy>
  <cp:revision>4</cp:revision>
  <cp:lastPrinted>2014-01-17T20:22:00Z</cp:lastPrinted>
  <dcterms:created xsi:type="dcterms:W3CDTF">2014-01-17T20:21:00Z</dcterms:created>
  <dcterms:modified xsi:type="dcterms:W3CDTF">2014-01-17T21:10:00Z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gFAAsdpvfP9KDXLF/FcnK4TTbLsypF5pMauYqbq44dT4LdaQzSi8U4311xKXzjNUNH/GMuoT0V7U1r86
1sX3daqGa5rNdJQsZ2fNYgIW7cHvh/ImjMKuqTG7P/0KbHSxPsKA3++6YSPKnqSU3m1oTlMSeNgk
Uedp7IOJca9eW33wG5IwdkRAmrMnneeMO4IqvSfKBgD8/2GX4ROsuPGd2Xf8sc4CZ4ivO+6AfJ+q
Dh2YXVhmMVvTBoT0x</vt:lpwstr>
  </property>
  <property fmtid="{D5CDD505-2E9C-101B-9397-08002B2CF9AE}" pid="3" name="MAIL_MSG_ID2">
    <vt:lpwstr>wvEJ5HhE2T8Z4C0hwNb5mxgYKTRubpdytOI8/bPGNYSdPy6VvHlQOtyN4gr
ipG+8C4rPMGD1ctqDvXKPShrfcD4MG8UssatcQ==</vt:lpwstr>
  </property>
  <property fmtid="{D5CDD505-2E9C-101B-9397-08002B2CF9AE}" pid="4" name="RESPONSE_SENDER_NAME">
    <vt:lpwstr>sAAAGYoQX4c3X/L3IYixGXRHMxUQ9VWDLXZt5VQD1L9pJz8=</vt:lpwstr>
  </property>
  <property fmtid="{D5CDD505-2E9C-101B-9397-08002B2CF9AE}" pid="5" name="EMAIL_OWNER_ADDRESS">
    <vt:lpwstr>4AAA4Lxe55UJ0C97HL0+CHVjbQ5AqvR9dz3MDvXKPShrfcAhyhA7mYu1iw==</vt:lpwstr>
  </property>
</Properties>
</file>